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8EAE" w14:textId="7BD09DA9" w:rsidR="0058429E" w:rsidRPr="008F7C28" w:rsidRDefault="0058429E" w:rsidP="006B69C2">
      <w:pPr>
        <w:pStyle w:val="BNDES"/>
        <w:keepNext/>
        <w:rPr>
          <w:rFonts w:cs="Arial"/>
        </w:rPr>
      </w:pPr>
      <w:r w:rsidRPr="008F7C28">
        <w:rPr>
          <w:rFonts w:cs="Arial"/>
        </w:rPr>
        <w:t>CIRCULAR SUP/</w:t>
      </w:r>
      <w:r w:rsidR="00E74DF2" w:rsidRPr="008F7C28">
        <w:rPr>
          <w:rFonts w:cs="Arial"/>
        </w:rPr>
        <w:t>ADIG</w:t>
      </w:r>
      <w:r w:rsidRPr="008F7C28">
        <w:rPr>
          <w:rFonts w:cs="Arial"/>
        </w:rPr>
        <w:t xml:space="preserve"> Nº</w:t>
      </w:r>
      <w:r w:rsidR="00D52FDE" w:rsidRPr="008F7C28">
        <w:rPr>
          <w:rFonts w:cs="Arial"/>
        </w:rPr>
        <w:t xml:space="preserve"> </w:t>
      </w:r>
      <w:r w:rsidR="006F2695">
        <w:rPr>
          <w:rFonts w:cs="Arial"/>
        </w:rPr>
        <w:t>121</w:t>
      </w:r>
      <w:r w:rsidR="001D559B" w:rsidRPr="008F7C28">
        <w:rPr>
          <w:rFonts w:cs="Arial"/>
        </w:rPr>
        <w:t>/</w:t>
      </w:r>
      <w:r w:rsidR="00081687" w:rsidRPr="008F7C28">
        <w:rPr>
          <w:rFonts w:cs="Arial"/>
        </w:rPr>
        <w:t>202</w:t>
      </w:r>
      <w:r w:rsidR="00081687">
        <w:rPr>
          <w:rFonts w:cs="Arial"/>
        </w:rPr>
        <w:t>5</w:t>
      </w:r>
      <w:r w:rsidRPr="008F7C28">
        <w:rPr>
          <w:rFonts w:cs="Arial"/>
        </w:rPr>
        <w:t>-BNDES</w:t>
      </w:r>
    </w:p>
    <w:p w14:paraId="229B7C29" w14:textId="77777777" w:rsidR="0058429E" w:rsidRPr="008F7C28" w:rsidRDefault="0058429E" w:rsidP="006B69C2">
      <w:pPr>
        <w:pStyle w:val="BNDES"/>
        <w:keepNext/>
        <w:rPr>
          <w:rFonts w:cs="Arial"/>
        </w:rPr>
      </w:pPr>
    </w:p>
    <w:p w14:paraId="41F6E74B" w14:textId="77777777" w:rsidR="0058429E" w:rsidRPr="008F7C28" w:rsidRDefault="0058429E" w:rsidP="006B69C2">
      <w:pPr>
        <w:pStyle w:val="BNDES"/>
        <w:keepNext/>
        <w:rPr>
          <w:rFonts w:cs="Arial"/>
        </w:rPr>
      </w:pPr>
    </w:p>
    <w:p w14:paraId="3813FD24" w14:textId="0CF633C1" w:rsidR="0058429E" w:rsidRPr="003779EC" w:rsidRDefault="0058429E" w:rsidP="006B69C2">
      <w:pPr>
        <w:pStyle w:val="BNDES"/>
        <w:keepNext/>
        <w:rPr>
          <w:rFonts w:cs="Arial"/>
        </w:rPr>
      </w:pPr>
      <w:r w:rsidRPr="008F7C28">
        <w:rPr>
          <w:rFonts w:cs="Arial"/>
        </w:rPr>
        <w:t>Rio de Janeiro,</w:t>
      </w:r>
      <w:r w:rsidR="00AD5A13">
        <w:rPr>
          <w:rFonts w:cs="Arial"/>
        </w:rPr>
        <w:t xml:space="preserve"> </w:t>
      </w:r>
      <w:r w:rsidR="006F2695">
        <w:rPr>
          <w:rFonts w:cs="Arial"/>
        </w:rPr>
        <w:t xml:space="preserve">18 </w:t>
      </w:r>
      <w:r w:rsidR="00AD5A13">
        <w:rPr>
          <w:rFonts w:cs="Arial"/>
        </w:rPr>
        <w:t xml:space="preserve">de </w:t>
      </w:r>
      <w:r w:rsidR="006F2695">
        <w:rPr>
          <w:rFonts w:cs="Arial"/>
        </w:rPr>
        <w:t>novembro</w:t>
      </w:r>
      <w:r w:rsidR="006F2695" w:rsidRPr="008F7C28">
        <w:rPr>
          <w:rFonts w:cs="Arial"/>
        </w:rPr>
        <w:t xml:space="preserve"> </w:t>
      </w:r>
      <w:r w:rsidR="008555B6" w:rsidRPr="008F7C28">
        <w:rPr>
          <w:rFonts w:cs="Arial"/>
        </w:rPr>
        <w:t xml:space="preserve">de </w:t>
      </w:r>
      <w:r w:rsidR="005723DF" w:rsidRPr="008F7C28">
        <w:rPr>
          <w:rFonts w:cs="Arial"/>
        </w:rPr>
        <w:t>202</w:t>
      </w:r>
      <w:r w:rsidR="00081687">
        <w:rPr>
          <w:rFonts w:cs="Arial"/>
        </w:rPr>
        <w:t>5</w:t>
      </w:r>
      <w:r w:rsidRPr="008F7C28">
        <w:rPr>
          <w:rFonts w:cs="Arial"/>
        </w:rPr>
        <w:t>.</w:t>
      </w:r>
    </w:p>
    <w:p w14:paraId="71E32032" w14:textId="77777777" w:rsidR="0058429E" w:rsidRPr="003779EC" w:rsidRDefault="0058429E" w:rsidP="006B69C2">
      <w:pPr>
        <w:keepNext/>
        <w:jc w:val="both"/>
        <w:rPr>
          <w:rFonts w:ascii="Arial" w:hAnsi="Arial" w:cs="Arial"/>
          <w:sz w:val="24"/>
        </w:rPr>
      </w:pPr>
    </w:p>
    <w:p w14:paraId="3157215D" w14:textId="77777777" w:rsidR="0058429E" w:rsidRPr="003779EC" w:rsidRDefault="0058429E" w:rsidP="006B69C2">
      <w:pPr>
        <w:keepNext/>
        <w:jc w:val="both"/>
        <w:rPr>
          <w:rFonts w:ascii="Arial" w:hAnsi="Arial" w:cs="Arial"/>
          <w:sz w:val="24"/>
        </w:rPr>
      </w:pPr>
    </w:p>
    <w:p w14:paraId="76A7C8B8" w14:textId="459344C0" w:rsidR="0058429E" w:rsidRPr="003779EC" w:rsidRDefault="0058429E" w:rsidP="006B69C2">
      <w:pPr>
        <w:pStyle w:val="BNDES"/>
        <w:keepNext/>
        <w:ind w:left="851" w:hanging="851"/>
        <w:rPr>
          <w:rFonts w:cs="Arial"/>
        </w:rPr>
      </w:pPr>
      <w:r w:rsidRPr="003779EC">
        <w:rPr>
          <w:rFonts w:cs="Arial"/>
        </w:rPr>
        <w:t>Ref.:</w:t>
      </w:r>
      <w:r w:rsidRPr="003779EC">
        <w:rPr>
          <w:rFonts w:cs="Arial"/>
        </w:rPr>
        <w:tab/>
      </w:r>
      <w:r w:rsidR="007925D1" w:rsidRPr="003779EC">
        <w:rPr>
          <w:rFonts w:cs="Arial"/>
        </w:rPr>
        <w:t xml:space="preserve">Programa </w:t>
      </w:r>
      <w:r w:rsidR="007925D1" w:rsidRPr="00EF0F6C">
        <w:rPr>
          <w:rFonts w:cs="Arial"/>
        </w:rPr>
        <w:t xml:space="preserve">BNDES </w:t>
      </w:r>
      <w:r w:rsidR="007925D1">
        <w:rPr>
          <w:rFonts w:cs="Arial"/>
        </w:rPr>
        <w:t>Brasil Soberano Crédito Emergencial Automático</w:t>
      </w:r>
      <w:r w:rsidR="00D52FDE">
        <w:rPr>
          <w:rFonts w:cs="Arial"/>
        </w:rPr>
        <w:t xml:space="preserve"> </w:t>
      </w:r>
      <w:r w:rsidR="0064372D">
        <w:rPr>
          <w:rFonts w:cs="Arial"/>
        </w:rPr>
        <w:t>(</w:t>
      </w:r>
      <w:r w:rsidR="00F91348">
        <w:rPr>
          <w:rFonts w:cs="Arial"/>
        </w:rPr>
        <w:t xml:space="preserve">Circular SUP/ADIG </w:t>
      </w:r>
      <w:r w:rsidR="0064372D">
        <w:rPr>
          <w:rFonts w:cs="Arial"/>
        </w:rPr>
        <w:t xml:space="preserve">nº </w:t>
      </w:r>
      <w:r w:rsidR="007925D1">
        <w:rPr>
          <w:rFonts w:cs="Arial"/>
        </w:rPr>
        <w:t>85</w:t>
      </w:r>
      <w:r w:rsidR="00F91348">
        <w:rPr>
          <w:rFonts w:cs="Arial"/>
        </w:rPr>
        <w:t>/202</w:t>
      </w:r>
      <w:r w:rsidR="00081687">
        <w:rPr>
          <w:rFonts w:cs="Arial"/>
        </w:rPr>
        <w:t>5</w:t>
      </w:r>
      <w:r w:rsidR="0064372D">
        <w:rPr>
          <w:rFonts w:cs="Arial"/>
        </w:rPr>
        <w:t>-</w:t>
      </w:r>
      <w:r w:rsidR="00F91348">
        <w:rPr>
          <w:rFonts w:cs="Arial"/>
        </w:rPr>
        <w:t xml:space="preserve">BNDES, de </w:t>
      </w:r>
      <w:r w:rsidR="007925D1">
        <w:rPr>
          <w:rFonts w:cs="Arial"/>
        </w:rPr>
        <w:t>27</w:t>
      </w:r>
      <w:r w:rsidR="00C4526F">
        <w:rPr>
          <w:rFonts w:cs="Arial"/>
        </w:rPr>
        <w:t>.</w:t>
      </w:r>
      <w:r w:rsidR="007925D1">
        <w:rPr>
          <w:rFonts w:cs="Arial"/>
        </w:rPr>
        <w:t>08</w:t>
      </w:r>
      <w:r w:rsidR="00C4526F">
        <w:rPr>
          <w:rFonts w:cs="Arial"/>
        </w:rPr>
        <w:t>.202</w:t>
      </w:r>
      <w:r w:rsidR="00081687">
        <w:rPr>
          <w:rFonts w:cs="Arial"/>
        </w:rPr>
        <w:t>5</w:t>
      </w:r>
      <w:r w:rsidR="0064372D">
        <w:rPr>
          <w:rFonts w:cs="Arial"/>
        </w:rPr>
        <w:t>)</w:t>
      </w:r>
      <w:r w:rsidR="00183867">
        <w:rPr>
          <w:szCs w:val="22"/>
        </w:rPr>
        <w:t>.</w:t>
      </w:r>
    </w:p>
    <w:p w14:paraId="1DCC362E" w14:textId="77777777" w:rsidR="0058429E" w:rsidRPr="003779EC" w:rsidRDefault="0058429E" w:rsidP="006B69C2">
      <w:pPr>
        <w:pStyle w:val="BNDES"/>
        <w:keepNext/>
        <w:tabs>
          <w:tab w:val="left" w:pos="540"/>
        </w:tabs>
        <w:ind w:left="851" w:hanging="851"/>
        <w:rPr>
          <w:rFonts w:cs="Arial"/>
          <w:highlight w:val="yellow"/>
        </w:rPr>
      </w:pPr>
    </w:p>
    <w:p w14:paraId="3E473596" w14:textId="64555E74" w:rsidR="0058429E" w:rsidRPr="003C261C" w:rsidRDefault="0058429E" w:rsidP="006B69C2">
      <w:pPr>
        <w:pStyle w:val="BNDES"/>
        <w:keepNext/>
        <w:tabs>
          <w:tab w:val="left" w:pos="851"/>
        </w:tabs>
        <w:ind w:left="851" w:hanging="851"/>
        <w:rPr>
          <w:rFonts w:cs="Arial"/>
        </w:rPr>
      </w:pPr>
      <w:r w:rsidRPr="003779EC">
        <w:rPr>
          <w:rFonts w:cs="Arial"/>
        </w:rPr>
        <w:t>Ass.:</w:t>
      </w:r>
      <w:r w:rsidRPr="003779EC">
        <w:rPr>
          <w:rFonts w:cs="Arial"/>
        </w:rPr>
        <w:tab/>
      </w:r>
      <w:r w:rsidR="00AD5A13">
        <w:rPr>
          <w:rFonts w:cs="Arial"/>
        </w:rPr>
        <w:t xml:space="preserve">Alteração do </w:t>
      </w:r>
      <w:r w:rsidR="007925D1" w:rsidRPr="003779EC">
        <w:rPr>
          <w:rFonts w:cs="Arial"/>
        </w:rPr>
        <w:t xml:space="preserve">Programa </w:t>
      </w:r>
      <w:r w:rsidR="007925D1" w:rsidRPr="00EF0F6C">
        <w:rPr>
          <w:rFonts w:cs="Arial"/>
        </w:rPr>
        <w:t xml:space="preserve">BNDES </w:t>
      </w:r>
      <w:r w:rsidR="007925D1">
        <w:rPr>
          <w:rFonts w:cs="Arial"/>
        </w:rPr>
        <w:t>Brasil Soberano Crédito Emergencial Automático</w:t>
      </w:r>
      <w:r w:rsidR="009C2FD1" w:rsidRPr="003C261C">
        <w:rPr>
          <w:rFonts w:cs="Arial"/>
        </w:rPr>
        <w:t>.</w:t>
      </w:r>
    </w:p>
    <w:p w14:paraId="4CDFA225" w14:textId="77777777" w:rsidR="0058429E" w:rsidRPr="003C261C" w:rsidRDefault="0058429E" w:rsidP="006B69C2">
      <w:pPr>
        <w:pStyle w:val="BNDES"/>
        <w:keepNext/>
        <w:tabs>
          <w:tab w:val="left" w:pos="540"/>
        </w:tabs>
        <w:rPr>
          <w:rFonts w:cs="Arial"/>
        </w:rPr>
      </w:pPr>
    </w:p>
    <w:p w14:paraId="71D733BE" w14:textId="21CBE28C" w:rsidR="00823913" w:rsidRDefault="0058429E" w:rsidP="00500D31">
      <w:pPr>
        <w:pStyle w:val="BNDES"/>
        <w:keepNext/>
        <w:tabs>
          <w:tab w:val="left" w:pos="0"/>
        </w:tabs>
        <w:spacing w:before="120" w:after="120"/>
        <w:rPr>
          <w:rFonts w:cs="Arial"/>
        </w:rPr>
      </w:pPr>
      <w:r w:rsidRPr="003C261C">
        <w:t xml:space="preserve">O Superintendente da Área de Operações </w:t>
      </w:r>
      <w:r w:rsidR="00095281" w:rsidRPr="003C261C">
        <w:t>e Canais Digitais</w:t>
      </w:r>
      <w:r w:rsidR="00DC383E" w:rsidRPr="003C261C">
        <w:t xml:space="preserve"> – ADIG</w:t>
      </w:r>
      <w:r w:rsidRPr="003C261C">
        <w:t>,</w:t>
      </w:r>
      <w:r w:rsidR="00AD5A13">
        <w:t xml:space="preserve"> conforme Resolução da Diretoria Executiva do BNDES e</w:t>
      </w:r>
      <w:r w:rsidRPr="003C261C">
        <w:t xml:space="preserve"> no uso de suas atribuições, COMUNICA </w:t>
      </w:r>
      <w:r w:rsidR="00450897">
        <w:t>aos</w:t>
      </w:r>
      <w:r w:rsidR="00352C43" w:rsidRPr="003C261C">
        <w:t xml:space="preserve"> </w:t>
      </w:r>
      <w:r w:rsidR="00450897">
        <w:t>AGENTES</w:t>
      </w:r>
      <w:r w:rsidR="00352C43" w:rsidRPr="003C261C">
        <w:t xml:space="preserve"> FINANCEIR</w:t>
      </w:r>
      <w:r w:rsidR="00450897">
        <w:t>O</w:t>
      </w:r>
      <w:r w:rsidR="00352C43" w:rsidRPr="003C261C">
        <w:t xml:space="preserve">S </w:t>
      </w:r>
      <w:r w:rsidR="00500C16" w:rsidRPr="003C261C">
        <w:t>CREDENCIAD</w:t>
      </w:r>
      <w:r w:rsidR="00450897">
        <w:t>O</w:t>
      </w:r>
      <w:r w:rsidR="00500C16" w:rsidRPr="003C261C">
        <w:t>S</w:t>
      </w:r>
      <w:r w:rsidR="00450897">
        <w:t xml:space="preserve"> </w:t>
      </w:r>
      <w:r w:rsidR="007925D1">
        <w:t>a</w:t>
      </w:r>
      <w:r w:rsidR="00823913">
        <w:t>s seguintes</w:t>
      </w:r>
      <w:r w:rsidR="007925D1">
        <w:t xml:space="preserve"> alteraç</w:t>
      </w:r>
      <w:r w:rsidR="00823913">
        <w:t>ões no âmbito</w:t>
      </w:r>
      <w:r w:rsidR="007925D1">
        <w:t xml:space="preserve"> do </w:t>
      </w:r>
      <w:r w:rsidR="007925D1" w:rsidRPr="003779EC">
        <w:rPr>
          <w:rFonts w:cs="Arial"/>
        </w:rPr>
        <w:t xml:space="preserve">Programa </w:t>
      </w:r>
      <w:r w:rsidR="007925D1" w:rsidRPr="00EF0F6C">
        <w:rPr>
          <w:rFonts w:cs="Arial"/>
        </w:rPr>
        <w:t xml:space="preserve">BNDES </w:t>
      </w:r>
      <w:r w:rsidR="007925D1">
        <w:rPr>
          <w:rFonts w:cs="Arial"/>
        </w:rPr>
        <w:t>Brasil Soberano Crédito Emergencial Automático</w:t>
      </w:r>
      <w:r w:rsidR="00823913">
        <w:rPr>
          <w:rFonts w:cs="Arial"/>
        </w:rPr>
        <w:t>:</w:t>
      </w:r>
    </w:p>
    <w:p w14:paraId="56CBD8B1" w14:textId="7ABAE732" w:rsidR="00A35F7D" w:rsidRDefault="00823913" w:rsidP="00566BD1">
      <w:pPr>
        <w:pStyle w:val="BNDES"/>
        <w:keepNext/>
        <w:numPr>
          <w:ilvl w:val="0"/>
          <w:numId w:val="26"/>
        </w:numPr>
        <w:tabs>
          <w:tab w:val="left" w:pos="567"/>
        </w:tabs>
        <w:spacing w:before="120" w:after="120"/>
        <w:ind w:left="567" w:hanging="567"/>
        <w:rPr>
          <w:rFonts w:cs="Arial"/>
        </w:rPr>
      </w:pPr>
      <w:r>
        <w:rPr>
          <w:rFonts w:cs="Arial"/>
        </w:rPr>
        <w:t>I</w:t>
      </w:r>
      <w:r w:rsidR="008337AB">
        <w:rPr>
          <w:rFonts w:cs="Arial"/>
        </w:rPr>
        <w:t>nclu</w:t>
      </w:r>
      <w:r>
        <w:rPr>
          <w:rFonts w:cs="Arial"/>
        </w:rPr>
        <w:t>são</w:t>
      </w:r>
      <w:r w:rsidR="008337AB">
        <w:rPr>
          <w:rFonts w:cs="Arial"/>
        </w:rPr>
        <w:t xml:space="preserve"> </w:t>
      </w:r>
      <w:r>
        <w:rPr>
          <w:rFonts w:cs="Arial"/>
        </w:rPr>
        <w:t>d</w:t>
      </w:r>
      <w:r w:rsidR="008337AB">
        <w:rPr>
          <w:rFonts w:cs="Arial"/>
        </w:rPr>
        <w:t xml:space="preserve">o financiamento a fornecedores da cadeia exportadora </w:t>
      </w:r>
      <w:r w:rsidR="008337AB" w:rsidRPr="008337AB">
        <w:rPr>
          <w:rFonts w:cs="Arial"/>
        </w:rPr>
        <w:t>impactada pela imposição de tarifas adicionais sobre exportações brasileiras</w:t>
      </w:r>
      <w:r w:rsidR="00566BD1">
        <w:rPr>
          <w:rFonts w:cs="Arial"/>
        </w:rPr>
        <w:t>;</w:t>
      </w:r>
    </w:p>
    <w:p w14:paraId="33FC1D0C" w14:textId="4051A013" w:rsidR="00026A18" w:rsidRDefault="00026A18" w:rsidP="00566BD1">
      <w:pPr>
        <w:pStyle w:val="BNDES"/>
        <w:keepNext/>
        <w:numPr>
          <w:ilvl w:val="0"/>
          <w:numId w:val="26"/>
        </w:numPr>
        <w:tabs>
          <w:tab w:val="left" w:pos="567"/>
        </w:tabs>
        <w:spacing w:before="120" w:after="120"/>
        <w:ind w:left="567" w:hanging="567"/>
        <w:rPr>
          <w:rFonts w:cs="Arial"/>
        </w:rPr>
      </w:pPr>
      <w:r>
        <w:rPr>
          <w:rFonts w:cs="Arial"/>
        </w:rPr>
        <w:t>A</w:t>
      </w:r>
      <w:r w:rsidRPr="00026A18">
        <w:rPr>
          <w:rFonts w:cs="Arial"/>
        </w:rPr>
        <w:t>just</w:t>
      </w:r>
      <w:r>
        <w:rPr>
          <w:rFonts w:cs="Arial"/>
        </w:rPr>
        <w:t>e</w:t>
      </w:r>
      <w:r w:rsidRPr="00026A18">
        <w:rPr>
          <w:rFonts w:cs="Arial"/>
        </w:rPr>
        <w:t xml:space="preserve"> </w:t>
      </w:r>
      <w:r>
        <w:rPr>
          <w:rFonts w:cs="Arial"/>
        </w:rPr>
        <w:t>n</w:t>
      </w:r>
      <w:r w:rsidRPr="00026A18">
        <w:rPr>
          <w:rFonts w:cs="Arial"/>
        </w:rPr>
        <w:t>os critérios para elegibilidade das empresas exportadoras</w:t>
      </w:r>
      <w:r>
        <w:rPr>
          <w:rFonts w:cs="Arial"/>
        </w:rPr>
        <w:t>;</w:t>
      </w:r>
    </w:p>
    <w:p w14:paraId="15F93E21" w14:textId="50E6D3C1" w:rsidR="00566BD1" w:rsidRDefault="00A35F7D" w:rsidP="005D401F">
      <w:pPr>
        <w:pStyle w:val="BNDES"/>
        <w:keepNext/>
        <w:numPr>
          <w:ilvl w:val="0"/>
          <w:numId w:val="26"/>
        </w:numPr>
        <w:tabs>
          <w:tab w:val="left" w:pos="567"/>
        </w:tabs>
        <w:spacing w:before="120" w:after="120"/>
        <w:ind w:left="567" w:hanging="567"/>
        <w:rPr>
          <w:rFonts w:cs="Arial"/>
        </w:rPr>
      </w:pPr>
      <w:r>
        <w:rPr>
          <w:rFonts w:cs="Arial"/>
        </w:rPr>
        <w:t>Ampliação dos Clientes Finais elegíveis à modalidade Giro Emergencial;</w:t>
      </w:r>
    </w:p>
    <w:p w14:paraId="53AFE623" w14:textId="42566FE0" w:rsidR="00566BD1" w:rsidRDefault="00566BD1" w:rsidP="005D401F">
      <w:pPr>
        <w:pStyle w:val="BNDES"/>
        <w:keepNext/>
        <w:numPr>
          <w:ilvl w:val="0"/>
          <w:numId w:val="26"/>
        </w:numPr>
        <w:tabs>
          <w:tab w:val="left" w:pos="567"/>
        </w:tabs>
        <w:spacing w:before="120" w:after="120"/>
        <w:ind w:left="567" w:hanging="567"/>
        <w:rPr>
          <w:rFonts w:cs="Arial"/>
        </w:rPr>
      </w:pPr>
      <w:r>
        <w:rPr>
          <w:rFonts w:cs="Arial"/>
        </w:rPr>
        <w:t>Atualização da base normativa do Programa</w:t>
      </w:r>
      <w:r w:rsidR="00026A18">
        <w:rPr>
          <w:rFonts w:cs="Arial"/>
        </w:rPr>
        <w:t>; e</w:t>
      </w:r>
    </w:p>
    <w:p w14:paraId="2B71C355" w14:textId="29B73219" w:rsidR="00026A18" w:rsidRDefault="00026A18" w:rsidP="005D401F">
      <w:pPr>
        <w:pStyle w:val="BNDES"/>
        <w:keepNext/>
        <w:numPr>
          <w:ilvl w:val="0"/>
          <w:numId w:val="26"/>
        </w:numPr>
        <w:tabs>
          <w:tab w:val="left" w:pos="567"/>
        </w:tabs>
        <w:spacing w:before="120" w:after="120"/>
        <w:ind w:left="567" w:hanging="567"/>
        <w:rPr>
          <w:rFonts w:cs="Arial"/>
        </w:rPr>
      </w:pPr>
      <w:r w:rsidRPr="00026A18">
        <w:rPr>
          <w:rFonts w:cs="Arial"/>
        </w:rPr>
        <w:t>Ajust</w:t>
      </w:r>
      <w:r>
        <w:rPr>
          <w:rFonts w:cs="Arial"/>
        </w:rPr>
        <w:t>e</w:t>
      </w:r>
      <w:r w:rsidRPr="00026A18">
        <w:rPr>
          <w:rFonts w:cs="Arial"/>
        </w:rPr>
        <w:t xml:space="preserve"> </w:t>
      </w:r>
      <w:r>
        <w:rPr>
          <w:rFonts w:cs="Arial"/>
        </w:rPr>
        <w:t>d</w:t>
      </w:r>
      <w:r w:rsidRPr="00026A18">
        <w:rPr>
          <w:rFonts w:cs="Arial"/>
        </w:rPr>
        <w:t xml:space="preserve">a data-limite para contratação </w:t>
      </w:r>
      <w:r>
        <w:rPr>
          <w:rFonts w:cs="Arial"/>
        </w:rPr>
        <w:t>das operações</w:t>
      </w:r>
      <w:r w:rsidR="00E53EA1">
        <w:rPr>
          <w:rFonts w:cs="Arial"/>
        </w:rPr>
        <w:t>,</w:t>
      </w:r>
      <w:r>
        <w:rPr>
          <w:rFonts w:cs="Arial"/>
        </w:rPr>
        <w:t xml:space="preserve"> </w:t>
      </w:r>
      <w:r w:rsidRPr="00026A18">
        <w:rPr>
          <w:rFonts w:cs="Arial"/>
        </w:rPr>
        <w:t>de 11</w:t>
      </w:r>
      <w:r w:rsidR="00E53EA1">
        <w:rPr>
          <w:rFonts w:cs="Arial"/>
        </w:rPr>
        <w:t>.</w:t>
      </w:r>
      <w:r w:rsidRPr="00026A18">
        <w:rPr>
          <w:rFonts w:cs="Arial"/>
        </w:rPr>
        <w:t>12</w:t>
      </w:r>
      <w:r w:rsidR="00E53EA1">
        <w:rPr>
          <w:rFonts w:cs="Arial"/>
        </w:rPr>
        <w:t>.</w:t>
      </w:r>
      <w:r w:rsidRPr="00026A18">
        <w:rPr>
          <w:rFonts w:cs="Arial"/>
        </w:rPr>
        <w:t>2025 para 10</w:t>
      </w:r>
      <w:r w:rsidR="00E53EA1">
        <w:rPr>
          <w:rFonts w:cs="Arial"/>
        </w:rPr>
        <w:t>.</w:t>
      </w:r>
      <w:r w:rsidRPr="00026A18">
        <w:rPr>
          <w:rFonts w:cs="Arial"/>
        </w:rPr>
        <w:t>12</w:t>
      </w:r>
      <w:r w:rsidR="00E53EA1">
        <w:rPr>
          <w:rFonts w:cs="Arial"/>
        </w:rPr>
        <w:t>.</w:t>
      </w:r>
      <w:r w:rsidRPr="00026A18">
        <w:rPr>
          <w:rFonts w:cs="Arial"/>
        </w:rPr>
        <w:t>2025, de acordo com a vigência da Medida Provisória n° 1</w:t>
      </w:r>
      <w:r w:rsidR="00E53EA1">
        <w:rPr>
          <w:rFonts w:cs="Arial"/>
        </w:rPr>
        <w:t>.</w:t>
      </w:r>
      <w:r w:rsidRPr="00026A18">
        <w:rPr>
          <w:rFonts w:cs="Arial"/>
        </w:rPr>
        <w:t>309</w:t>
      </w:r>
      <w:r w:rsidR="00E53EA1">
        <w:rPr>
          <w:rFonts w:cs="Arial"/>
        </w:rPr>
        <w:t>,</w:t>
      </w:r>
      <w:r w:rsidRPr="00026A18">
        <w:rPr>
          <w:rFonts w:cs="Arial"/>
        </w:rPr>
        <w:t xml:space="preserve"> que instituiu o Plano Brasil Soberano</w:t>
      </w:r>
      <w:r>
        <w:rPr>
          <w:rFonts w:cs="Arial"/>
        </w:rPr>
        <w:t>.</w:t>
      </w:r>
    </w:p>
    <w:p w14:paraId="18FD0FD9" w14:textId="6F4457FB" w:rsidR="008337AB" w:rsidRDefault="008337AB" w:rsidP="00566BD1">
      <w:pPr>
        <w:pStyle w:val="BNDES"/>
        <w:keepNext/>
        <w:tabs>
          <w:tab w:val="left" w:pos="0"/>
        </w:tabs>
        <w:spacing w:before="120" w:after="120"/>
        <w:rPr>
          <w:rFonts w:cs="Arial"/>
        </w:rPr>
      </w:pPr>
      <w:r>
        <w:rPr>
          <w:rFonts w:cs="Arial"/>
        </w:rPr>
        <w:t>Dessa forma</w:t>
      </w:r>
      <w:r w:rsidR="00566BD1">
        <w:rPr>
          <w:rFonts w:cs="Arial"/>
        </w:rPr>
        <w:t>, procedem-se às seguintes alterações na Circular SUP/ADIG nº 85/2025-BNDES, de 27.08.2025</w:t>
      </w:r>
      <w:r>
        <w:rPr>
          <w:rFonts w:cs="Arial"/>
        </w:rPr>
        <w:t>:</w:t>
      </w:r>
    </w:p>
    <w:p w14:paraId="2D698DEE" w14:textId="60F47000" w:rsidR="00B90C9A" w:rsidRDefault="00EA64AA" w:rsidP="00EC381A">
      <w:pPr>
        <w:pStyle w:val="BNDES"/>
        <w:numPr>
          <w:ilvl w:val="0"/>
          <w:numId w:val="23"/>
        </w:numPr>
        <w:tabs>
          <w:tab w:val="left" w:pos="567"/>
        </w:tabs>
        <w:spacing w:before="120" w:after="120"/>
        <w:ind w:left="567" w:hanging="567"/>
      </w:pPr>
      <w:r>
        <w:rPr>
          <w:rFonts w:cs="Arial"/>
        </w:rPr>
        <w:t>Fica atualizado o preâmbulo, nos termos abaixo</w:t>
      </w:r>
      <w:r w:rsidR="00B90C9A">
        <w:rPr>
          <w:rFonts w:cs="Arial"/>
        </w:rPr>
        <w:t>:</w:t>
      </w:r>
    </w:p>
    <w:p w14:paraId="2C2038E3" w14:textId="5C2C205E" w:rsidR="00EA64AA" w:rsidRDefault="00B90C9A" w:rsidP="00EA64AA">
      <w:pPr>
        <w:pStyle w:val="BNDES"/>
        <w:tabs>
          <w:tab w:val="left" w:pos="567"/>
        </w:tabs>
        <w:spacing w:before="120" w:after="120"/>
        <w:ind w:left="567"/>
        <w:rPr>
          <w:rFonts w:cs="Arial"/>
        </w:rPr>
      </w:pPr>
      <w:r w:rsidRPr="00AD5A13">
        <w:t>“</w:t>
      </w:r>
      <w:r w:rsidR="00EA64AA" w:rsidRPr="08C4FCD8">
        <w:rPr>
          <w:rFonts w:cs="Arial"/>
        </w:rPr>
        <w:t xml:space="preserve">O Superintendente da Área de Operações e Canais Digitais – ADIG, no uso de suas atribuições e consoante Resolução de Diretoria Executiva do BNDES, COMUNICA aos AGENTES FINANCEIROS CREDENCIADOS a criação do Programa BNDES Brasil Soberano Crédito Emergencial Automático, com recursos do </w:t>
      </w:r>
      <w:r w:rsidR="00EA64AA" w:rsidRPr="00322999">
        <w:rPr>
          <w:rFonts w:eastAsia="Arial" w:cs="Arial"/>
          <w:szCs w:val="24"/>
        </w:rPr>
        <w:t>Fundo de Garantia à Exportação – FGE</w:t>
      </w:r>
      <w:r w:rsidR="00EA64AA" w:rsidRPr="08C4FCD8">
        <w:rPr>
          <w:rFonts w:cs="Arial"/>
        </w:rPr>
        <w:t xml:space="preserve"> de que trata o disposto na Lei nº 9.818, de 23</w:t>
      </w:r>
      <w:r w:rsidR="00EA64AA">
        <w:rPr>
          <w:rFonts w:cs="Arial"/>
        </w:rPr>
        <w:t xml:space="preserve"> de agosto </w:t>
      </w:r>
      <w:r w:rsidR="00EA64AA" w:rsidRPr="08C4FCD8">
        <w:rPr>
          <w:rFonts w:cs="Arial"/>
        </w:rPr>
        <w:t xml:space="preserve">1999, </w:t>
      </w:r>
      <w:r w:rsidR="00DE3EF5">
        <w:rPr>
          <w:rFonts w:cs="Arial"/>
        </w:rPr>
        <w:t xml:space="preserve">com base </w:t>
      </w:r>
      <w:r w:rsidR="00EA64AA" w:rsidRPr="08C4FCD8">
        <w:rPr>
          <w:rFonts w:cs="Arial"/>
        </w:rPr>
        <w:t>na Medida Provisória nº 1.3</w:t>
      </w:r>
      <w:r w:rsidR="00EA64AA">
        <w:rPr>
          <w:rFonts w:cs="Arial"/>
        </w:rPr>
        <w:t>09</w:t>
      </w:r>
      <w:r w:rsidR="00EA64AA" w:rsidRPr="08C4FCD8">
        <w:rPr>
          <w:rFonts w:cs="Arial"/>
        </w:rPr>
        <w:t>, de 13 de agosto de 2025, na</w:t>
      </w:r>
      <w:r w:rsidR="00823913">
        <w:rPr>
          <w:rFonts w:cs="Arial"/>
        </w:rPr>
        <w:t>s</w:t>
      </w:r>
      <w:r w:rsidR="00EA64AA" w:rsidRPr="08C4FCD8">
        <w:rPr>
          <w:rFonts w:cs="Arial"/>
        </w:rPr>
        <w:t xml:space="preserve"> Resoluç</w:t>
      </w:r>
      <w:r w:rsidR="00823913">
        <w:rPr>
          <w:rFonts w:cs="Arial"/>
        </w:rPr>
        <w:t>ões</w:t>
      </w:r>
      <w:r w:rsidR="00EA64AA" w:rsidRPr="08C4FCD8">
        <w:rPr>
          <w:rFonts w:cs="Arial"/>
        </w:rPr>
        <w:t xml:space="preserve"> do Conselho Monetário Nacional – CMN n° 5.242</w:t>
      </w:r>
      <w:r w:rsidR="00DE3EF5">
        <w:rPr>
          <w:rFonts w:cs="Arial"/>
        </w:rPr>
        <w:t>,</w:t>
      </w:r>
      <w:r w:rsidR="00EA64AA" w:rsidRPr="08C4FCD8">
        <w:rPr>
          <w:rFonts w:cs="Arial"/>
        </w:rPr>
        <w:t xml:space="preserve"> de 22</w:t>
      </w:r>
      <w:r w:rsidR="00EA64AA" w:rsidRPr="64003584">
        <w:rPr>
          <w:rFonts w:cs="Arial"/>
        </w:rPr>
        <w:t xml:space="preserve"> de agosto de</w:t>
      </w:r>
      <w:r w:rsidR="00EA64AA">
        <w:rPr>
          <w:rFonts w:cs="Arial"/>
        </w:rPr>
        <w:t xml:space="preserve"> </w:t>
      </w:r>
      <w:r w:rsidR="00EA64AA" w:rsidRPr="08C4FCD8">
        <w:rPr>
          <w:rFonts w:cs="Arial"/>
        </w:rPr>
        <w:t>2025</w:t>
      </w:r>
      <w:r w:rsidR="00EA64AA">
        <w:rPr>
          <w:rFonts w:cs="Arial"/>
        </w:rPr>
        <w:t>,</w:t>
      </w:r>
      <w:r w:rsidR="00EA64AA" w:rsidRPr="08C4FCD8">
        <w:rPr>
          <w:rFonts w:cs="Arial"/>
        </w:rPr>
        <w:t xml:space="preserve"> </w:t>
      </w:r>
      <w:r w:rsidR="00823913" w:rsidRPr="00823913">
        <w:rPr>
          <w:rFonts w:cs="Arial"/>
        </w:rPr>
        <w:t>nº 5.248, de 19</w:t>
      </w:r>
      <w:r w:rsidR="00823913">
        <w:rPr>
          <w:rFonts w:cs="Arial"/>
        </w:rPr>
        <w:t xml:space="preserve"> de setembro </w:t>
      </w:r>
      <w:r w:rsidR="00823913" w:rsidRPr="00823913">
        <w:rPr>
          <w:rFonts w:cs="Arial"/>
        </w:rPr>
        <w:t>2025</w:t>
      </w:r>
      <w:r w:rsidR="00DE3EF5">
        <w:rPr>
          <w:rFonts w:cs="Arial"/>
        </w:rPr>
        <w:t>,</w:t>
      </w:r>
      <w:r w:rsidR="00823913">
        <w:rPr>
          <w:rFonts w:cs="Arial"/>
        </w:rPr>
        <w:t xml:space="preserve"> e </w:t>
      </w:r>
      <w:r w:rsidR="00823913" w:rsidRPr="00823913">
        <w:rPr>
          <w:rFonts w:cs="Arial"/>
        </w:rPr>
        <w:t xml:space="preserve">nº </w:t>
      </w:r>
      <w:r w:rsidR="00026A18" w:rsidRPr="006F2695">
        <w:rPr>
          <w:rFonts w:cs="Arial"/>
        </w:rPr>
        <w:t>5</w:t>
      </w:r>
      <w:r w:rsidR="00823913" w:rsidRPr="006F2695">
        <w:rPr>
          <w:rFonts w:cs="Arial"/>
        </w:rPr>
        <w:t>.</w:t>
      </w:r>
      <w:r w:rsidR="00026A18" w:rsidRPr="006F2695">
        <w:rPr>
          <w:rFonts w:cs="Arial"/>
        </w:rPr>
        <w:t>262</w:t>
      </w:r>
      <w:r w:rsidR="00823913" w:rsidRPr="006F2695">
        <w:rPr>
          <w:rFonts w:cs="Arial"/>
        </w:rPr>
        <w:t xml:space="preserve">, de </w:t>
      </w:r>
      <w:r w:rsidR="00026A18" w:rsidRPr="006F2695">
        <w:rPr>
          <w:rFonts w:cs="Arial"/>
        </w:rPr>
        <w:t>13</w:t>
      </w:r>
      <w:r w:rsidR="00823913" w:rsidRPr="006F2695">
        <w:rPr>
          <w:rFonts w:cs="Arial"/>
        </w:rPr>
        <w:t xml:space="preserve"> de</w:t>
      </w:r>
      <w:r w:rsidR="00823913">
        <w:rPr>
          <w:rFonts w:cs="Arial"/>
        </w:rPr>
        <w:t xml:space="preserve"> novembro </w:t>
      </w:r>
      <w:r w:rsidR="00823913" w:rsidRPr="00823913">
        <w:rPr>
          <w:rFonts w:cs="Arial"/>
        </w:rPr>
        <w:t>2025</w:t>
      </w:r>
      <w:r w:rsidR="00823913">
        <w:rPr>
          <w:rFonts w:cs="Arial"/>
        </w:rPr>
        <w:t xml:space="preserve">, </w:t>
      </w:r>
      <w:r w:rsidR="00EA64AA" w:rsidRPr="08C4FCD8">
        <w:rPr>
          <w:rFonts w:cs="Arial"/>
        </w:rPr>
        <w:t xml:space="preserve">na </w:t>
      </w:r>
      <w:r w:rsidR="00EA64AA" w:rsidRPr="003A7AC9">
        <w:rPr>
          <w:rFonts w:eastAsia="Arial" w:cs="Arial"/>
          <w:szCs w:val="24"/>
        </w:rPr>
        <w:t>Portaria Conjunta MDIC/MF nº 17/2025, de 22 de agosto de 2025</w:t>
      </w:r>
      <w:r w:rsidR="00823913">
        <w:rPr>
          <w:rFonts w:eastAsia="Arial" w:cs="Arial"/>
          <w:szCs w:val="24"/>
        </w:rPr>
        <w:t>,</w:t>
      </w:r>
      <w:r w:rsidR="00EA64AA" w:rsidRPr="08C4FCD8">
        <w:rPr>
          <w:rFonts w:cs="Arial"/>
        </w:rPr>
        <w:t xml:space="preserve"> na Portaria do Ministério da Fazenda – MF nº 1.861/2025, de 22 de agosto de 2025</w:t>
      </w:r>
      <w:r w:rsidR="00823913">
        <w:rPr>
          <w:rFonts w:cs="Arial"/>
        </w:rPr>
        <w:t xml:space="preserve">, na </w:t>
      </w:r>
      <w:r w:rsidR="00823913" w:rsidRPr="00823913">
        <w:rPr>
          <w:rFonts w:cs="Arial"/>
        </w:rPr>
        <w:t>Portaria Conjunta MDIC/MF nº 4, de 11</w:t>
      </w:r>
      <w:r w:rsidR="00823913">
        <w:rPr>
          <w:rFonts w:cs="Arial"/>
        </w:rPr>
        <w:t xml:space="preserve"> de setembro de </w:t>
      </w:r>
      <w:r w:rsidR="00823913" w:rsidRPr="00823913">
        <w:rPr>
          <w:rFonts w:cs="Arial"/>
        </w:rPr>
        <w:t>2025</w:t>
      </w:r>
      <w:r w:rsidR="00823913">
        <w:rPr>
          <w:rFonts w:cs="Arial"/>
        </w:rPr>
        <w:t xml:space="preserve">, na </w:t>
      </w:r>
      <w:r w:rsidR="00823913" w:rsidRPr="00823913">
        <w:rPr>
          <w:rFonts w:cs="Arial"/>
        </w:rPr>
        <w:t>Portaria MTE nº 1608, de 18</w:t>
      </w:r>
      <w:r w:rsidR="00823913">
        <w:rPr>
          <w:rFonts w:cs="Arial"/>
        </w:rPr>
        <w:t xml:space="preserve"> de setembro </w:t>
      </w:r>
      <w:r w:rsidR="00823913" w:rsidRPr="00823913">
        <w:rPr>
          <w:rFonts w:cs="Arial"/>
        </w:rPr>
        <w:t>2025</w:t>
      </w:r>
      <w:r w:rsidR="00026A18">
        <w:rPr>
          <w:rFonts w:cs="Arial"/>
        </w:rPr>
        <w:t xml:space="preserve">, e na </w:t>
      </w:r>
      <w:r w:rsidR="00026A18" w:rsidRPr="00823913">
        <w:rPr>
          <w:rFonts w:cs="Arial"/>
        </w:rPr>
        <w:t>Portaria Conjunta MF</w:t>
      </w:r>
      <w:r w:rsidR="00026A18">
        <w:rPr>
          <w:rFonts w:cs="Arial"/>
        </w:rPr>
        <w:t>/MDIC</w:t>
      </w:r>
      <w:r w:rsidR="00026A18" w:rsidRPr="00823913">
        <w:rPr>
          <w:rFonts w:cs="Arial"/>
        </w:rPr>
        <w:t xml:space="preserve"> nº </w:t>
      </w:r>
      <w:r w:rsidR="00026A18">
        <w:rPr>
          <w:rFonts w:cs="Arial"/>
        </w:rPr>
        <w:t>21</w:t>
      </w:r>
      <w:r w:rsidR="00026A18" w:rsidRPr="00823913">
        <w:rPr>
          <w:rFonts w:cs="Arial"/>
        </w:rPr>
        <w:t>, de 11</w:t>
      </w:r>
      <w:r w:rsidR="00026A18">
        <w:rPr>
          <w:rFonts w:cs="Arial"/>
        </w:rPr>
        <w:t xml:space="preserve"> de novembro de </w:t>
      </w:r>
      <w:r w:rsidR="00026A18" w:rsidRPr="00823913">
        <w:rPr>
          <w:rFonts w:cs="Arial"/>
        </w:rPr>
        <w:t>2025</w:t>
      </w:r>
      <w:r w:rsidR="00EA64AA">
        <w:rPr>
          <w:rFonts w:cs="Arial"/>
        </w:rPr>
        <w:t>.</w:t>
      </w:r>
    </w:p>
    <w:p w14:paraId="69F0B058" w14:textId="362983B9" w:rsidR="00B90C9A" w:rsidRDefault="00EA64AA" w:rsidP="00EA64AA">
      <w:pPr>
        <w:pStyle w:val="BNDES"/>
        <w:tabs>
          <w:tab w:val="left" w:pos="567"/>
        </w:tabs>
        <w:spacing w:before="120" w:after="120"/>
        <w:ind w:left="567"/>
      </w:pPr>
      <w:r>
        <w:rPr>
          <w:rFonts w:cs="Arial"/>
        </w:rPr>
        <w:t>(...)</w:t>
      </w:r>
      <w:r w:rsidR="00B90C9A">
        <w:rPr>
          <w:rFonts w:cs="Arial"/>
          <w:szCs w:val="24"/>
        </w:rPr>
        <w:t>”</w:t>
      </w:r>
    </w:p>
    <w:p w14:paraId="57309C86" w14:textId="569A8486" w:rsidR="00144146" w:rsidRPr="00144146" w:rsidRDefault="00823913" w:rsidP="00E53EA1">
      <w:pPr>
        <w:pStyle w:val="BNDES"/>
        <w:keepNext/>
        <w:numPr>
          <w:ilvl w:val="0"/>
          <w:numId w:val="23"/>
        </w:numPr>
        <w:tabs>
          <w:tab w:val="left" w:pos="567"/>
        </w:tabs>
        <w:spacing w:before="120" w:after="120"/>
        <w:ind w:left="567" w:hanging="567"/>
        <w:rPr>
          <w:rFonts w:cs="Arial"/>
        </w:rPr>
      </w:pPr>
      <w:r>
        <w:lastRenderedPageBreak/>
        <w:t>Fica alterado o item 1, nos termos abaixo</w:t>
      </w:r>
      <w:r w:rsidR="00144146" w:rsidRPr="00144146">
        <w:t>:</w:t>
      </w:r>
    </w:p>
    <w:p w14:paraId="1012B2A1" w14:textId="68D01255" w:rsidR="00411A8D" w:rsidRDefault="00144146" w:rsidP="005D401F">
      <w:pPr>
        <w:pStyle w:val="BNDES"/>
        <w:tabs>
          <w:tab w:val="left" w:pos="1134"/>
        </w:tabs>
        <w:spacing w:before="120" w:after="120"/>
        <w:ind w:left="1134" w:hanging="567"/>
      </w:pPr>
      <w:r w:rsidRPr="00AD5A13">
        <w:t>“</w:t>
      </w:r>
      <w:r w:rsidR="00411A8D" w:rsidRPr="005D401F">
        <w:rPr>
          <w:b/>
          <w:bCs/>
        </w:rPr>
        <w:t>1.</w:t>
      </w:r>
      <w:r w:rsidR="00411A8D">
        <w:rPr>
          <w:b/>
          <w:bCs/>
        </w:rPr>
        <w:tab/>
      </w:r>
      <w:r w:rsidR="00411A8D" w:rsidRPr="005D401F">
        <w:rPr>
          <w:b/>
          <w:bCs/>
        </w:rPr>
        <w:t>OBJETIVOS</w:t>
      </w:r>
    </w:p>
    <w:p w14:paraId="3323AC6B" w14:textId="01404663" w:rsidR="00144146" w:rsidRDefault="00411A8D" w:rsidP="005D401F">
      <w:pPr>
        <w:pStyle w:val="BNDES"/>
        <w:spacing w:before="120" w:after="120"/>
        <w:ind w:left="1134"/>
        <w:rPr>
          <w:rFonts w:cs="Arial"/>
          <w:szCs w:val="24"/>
        </w:rPr>
      </w:pPr>
      <w:r>
        <w:rPr>
          <w:rFonts w:cs="Arial"/>
          <w:szCs w:val="24"/>
        </w:rPr>
        <w:t>A</w:t>
      </w:r>
      <w:r w:rsidRPr="00924762">
        <w:rPr>
          <w:rFonts w:cs="Arial"/>
          <w:szCs w:val="24"/>
        </w:rPr>
        <w:t xml:space="preserve">poiar pessoas jurídicas de direito privado exportadoras de bens, </w:t>
      </w:r>
      <w:r>
        <w:rPr>
          <w:rFonts w:cs="Arial"/>
          <w:szCs w:val="24"/>
        </w:rPr>
        <w:t>bem como seus fornecedores,</w:t>
      </w:r>
      <w:r w:rsidRPr="00924762">
        <w:rPr>
          <w:rFonts w:cs="Arial"/>
          <w:szCs w:val="24"/>
        </w:rPr>
        <w:t xml:space="preserve"> especialmente </w:t>
      </w:r>
      <w:r w:rsidRPr="64003584">
        <w:rPr>
          <w:rFonts w:cs="Arial"/>
        </w:rPr>
        <w:t>aquel</w:t>
      </w:r>
      <w:r>
        <w:rPr>
          <w:rFonts w:cs="Arial"/>
        </w:rPr>
        <w:t>e</w:t>
      </w:r>
      <w:r w:rsidRPr="64003584">
        <w:rPr>
          <w:rFonts w:cs="Arial"/>
        </w:rPr>
        <w:t>s impactad</w:t>
      </w:r>
      <w:r w:rsidR="00B63323">
        <w:rPr>
          <w:rFonts w:cs="Arial"/>
        </w:rPr>
        <w:t>o</w:t>
      </w:r>
      <w:r w:rsidRPr="64003584">
        <w:rPr>
          <w:rFonts w:cs="Arial"/>
        </w:rPr>
        <w:t>s</w:t>
      </w:r>
      <w:r w:rsidRPr="00924762">
        <w:rPr>
          <w:rFonts w:cs="Arial"/>
          <w:szCs w:val="24"/>
        </w:rPr>
        <w:t xml:space="preserve"> pela imposição de tarifas adicionais sobre exportações brasileiras, com vistas à manutenção da atividade econômica, à preservação e à geração de empregos, à modernização e adaptação produtiva e à diversificação de mercados internacionais</w:t>
      </w:r>
      <w:r w:rsidR="00144146">
        <w:rPr>
          <w:rFonts w:cs="Arial"/>
          <w:szCs w:val="24"/>
        </w:rPr>
        <w:t>.</w:t>
      </w:r>
      <w:r>
        <w:rPr>
          <w:rFonts w:cs="Arial"/>
          <w:szCs w:val="24"/>
        </w:rPr>
        <w:t>”</w:t>
      </w:r>
    </w:p>
    <w:p w14:paraId="7A390544" w14:textId="37E9DC22" w:rsidR="00154ABB" w:rsidRPr="00144146" w:rsidRDefault="00154ABB" w:rsidP="00154ABB">
      <w:pPr>
        <w:pStyle w:val="BNDES"/>
        <w:numPr>
          <w:ilvl w:val="0"/>
          <w:numId w:val="23"/>
        </w:numPr>
        <w:tabs>
          <w:tab w:val="left" w:pos="567"/>
        </w:tabs>
        <w:spacing w:before="120" w:after="120"/>
        <w:ind w:left="567" w:hanging="567"/>
        <w:rPr>
          <w:rFonts w:cs="Arial"/>
        </w:rPr>
      </w:pPr>
      <w:r>
        <w:t xml:space="preserve">Fica </w:t>
      </w:r>
      <w:r w:rsidR="00B2613D">
        <w:t>substituído</w:t>
      </w:r>
      <w:r>
        <w:t xml:space="preserve"> o item </w:t>
      </w:r>
      <w:r w:rsidR="00B2613D">
        <w:t>2</w:t>
      </w:r>
      <w:r>
        <w:t>, nos termos abaixo</w:t>
      </w:r>
      <w:r w:rsidRPr="00144146">
        <w:t>:</w:t>
      </w:r>
    </w:p>
    <w:p w14:paraId="788C0580" w14:textId="46E47C50" w:rsidR="00154ABB" w:rsidRDefault="00154ABB" w:rsidP="00154ABB">
      <w:pPr>
        <w:pStyle w:val="BNDES"/>
        <w:tabs>
          <w:tab w:val="left" w:pos="1134"/>
        </w:tabs>
        <w:spacing w:before="120" w:after="120"/>
        <w:ind w:left="1134" w:hanging="567"/>
      </w:pPr>
      <w:r w:rsidRPr="00AD5A13">
        <w:t>“</w:t>
      </w:r>
      <w:r w:rsidR="00B2613D">
        <w:rPr>
          <w:b/>
          <w:bCs/>
        </w:rPr>
        <w:t>2</w:t>
      </w:r>
      <w:r w:rsidRPr="00924425">
        <w:rPr>
          <w:b/>
          <w:bCs/>
        </w:rPr>
        <w:t>.</w:t>
      </w:r>
      <w:r>
        <w:rPr>
          <w:b/>
          <w:bCs/>
        </w:rPr>
        <w:tab/>
      </w:r>
      <w:r w:rsidR="00B2613D">
        <w:rPr>
          <w:b/>
          <w:bCs/>
        </w:rPr>
        <w:t>CLIENTES FINAIS</w:t>
      </w:r>
    </w:p>
    <w:p w14:paraId="0A846633" w14:textId="2230FBC3" w:rsidR="00B2613D" w:rsidRDefault="009872FE" w:rsidP="005D401F">
      <w:pPr>
        <w:pStyle w:val="BNDES"/>
        <w:tabs>
          <w:tab w:val="left" w:pos="1701"/>
        </w:tabs>
        <w:spacing w:before="120" w:after="120"/>
        <w:ind w:left="1701" w:hanging="567"/>
        <w:rPr>
          <w:rFonts w:cs="Arial"/>
          <w:szCs w:val="24"/>
        </w:rPr>
      </w:pPr>
      <w:r w:rsidRPr="005D401F">
        <w:rPr>
          <w:rFonts w:cs="Arial"/>
          <w:b/>
          <w:bCs/>
          <w:szCs w:val="24"/>
        </w:rPr>
        <w:t>2.1.</w:t>
      </w:r>
      <w:r>
        <w:rPr>
          <w:rFonts w:cs="Arial"/>
          <w:szCs w:val="24"/>
        </w:rPr>
        <w:tab/>
      </w:r>
      <w:r w:rsidR="00B2613D" w:rsidRPr="003215E1">
        <w:rPr>
          <w:rFonts w:cs="Arial"/>
          <w:szCs w:val="24"/>
        </w:rPr>
        <w:t xml:space="preserve">Poderão ser </w:t>
      </w:r>
      <w:r w:rsidR="00B2613D">
        <w:rPr>
          <w:rFonts w:cs="Arial"/>
          <w:szCs w:val="24"/>
        </w:rPr>
        <w:t>Clientes Finais:</w:t>
      </w:r>
    </w:p>
    <w:p w14:paraId="14516794" w14:textId="7C57D6BF" w:rsidR="00B2613D" w:rsidRDefault="009872FE" w:rsidP="009872FE">
      <w:pPr>
        <w:pStyle w:val="BNDES"/>
        <w:tabs>
          <w:tab w:val="left" w:pos="2552"/>
        </w:tabs>
        <w:spacing w:before="120" w:after="120"/>
        <w:ind w:left="2552" w:hanging="851"/>
        <w:rPr>
          <w:rFonts w:cs="Arial"/>
          <w:szCs w:val="24"/>
        </w:rPr>
      </w:pPr>
      <w:r w:rsidRPr="005D401F">
        <w:rPr>
          <w:rFonts w:cs="Arial"/>
          <w:b/>
          <w:bCs/>
          <w:szCs w:val="24"/>
        </w:rPr>
        <w:t>2.1.1.</w:t>
      </w:r>
      <w:r>
        <w:rPr>
          <w:rFonts w:cs="Arial"/>
          <w:szCs w:val="24"/>
        </w:rPr>
        <w:tab/>
      </w:r>
      <w:r w:rsidR="0036614F" w:rsidRPr="005D401F">
        <w:rPr>
          <w:rFonts w:cs="Arial"/>
          <w:b/>
          <w:bCs/>
          <w:szCs w:val="24"/>
        </w:rPr>
        <w:t>Exportadores:</w:t>
      </w:r>
      <w:r w:rsidR="0036614F">
        <w:rPr>
          <w:rFonts w:cs="Arial"/>
          <w:szCs w:val="24"/>
        </w:rPr>
        <w:t xml:space="preserve"> </w:t>
      </w:r>
      <w:r w:rsidR="00B2613D" w:rsidRPr="00333648">
        <w:rPr>
          <w:rFonts w:cs="Arial"/>
          <w:szCs w:val="24"/>
        </w:rPr>
        <w:t>Pessoas jurídicas de direito privado</w:t>
      </w:r>
      <w:r w:rsidR="00B2613D" w:rsidRPr="64003584">
        <w:rPr>
          <w:rFonts w:cs="Arial"/>
        </w:rPr>
        <w:t>, de qualquer porte,</w:t>
      </w:r>
      <w:r w:rsidR="00B2613D" w:rsidRPr="00333648">
        <w:rPr>
          <w:rFonts w:cs="Arial"/>
          <w:szCs w:val="24"/>
        </w:rPr>
        <w:t xml:space="preserve"> que realizem exportação de bens, inclusive aquelas que forneçam seus produtos a empresa comercial exportadora para exportação por conta e ordem</w:t>
      </w:r>
      <w:r w:rsidR="00B2613D">
        <w:rPr>
          <w:rFonts w:cs="Arial"/>
          <w:szCs w:val="24"/>
        </w:rPr>
        <w:t>,</w:t>
      </w:r>
      <w:r w:rsidR="00A8582C">
        <w:rPr>
          <w:rFonts w:cs="Arial"/>
          <w:szCs w:val="24"/>
        </w:rPr>
        <w:t xml:space="preserve"> (i)</w:t>
      </w:r>
      <w:r w:rsidR="00B2613D">
        <w:rPr>
          <w:rFonts w:cs="Arial"/>
          <w:szCs w:val="24"/>
        </w:rPr>
        <w:t xml:space="preserve"> </w:t>
      </w:r>
      <w:r w:rsidR="00B2613D" w:rsidRPr="00244548">
        <w:rPr>
          <w:rFonts w:cs="Arial"/>
          <w:szCs w:val="24"/>
        </w:rPr>
        <w:t xml:space="preserve">afetadas pela imposição de tarifas adicionais sobre exportações brasileiras por países mencionados no art. 5º-A, </w:t>
      </w:r>
      <w:r w:rsidR="00B2613D" w:rsidRPr="006F2695">
        <w:rPr>
          <w:rFonts w:cs="Arial"/>
          <w:i/>
          <w:iCs/>
          <w:szCs w:val="24"/>
        </w:rPr>
        <w:t>caput</w:t>
      </w:r>
      <w:r w:rsidR="00B2613D" w:rsidRPr="00244548">
        <w:rPr>
          <w:rFonts w:cs="Arial"/>
          <w:szCs w:val="24"/>
        </w:rPr>
        <w:t xml:space="preserve">, da Lei nº 9.818, de 23 de agosto de 1999, introduzido pela Medida Provisória nº 1.309, de 13 de agosto de 2025, conforme tabela de </w:t>
      </w:r>
      <w:r w:rsidR="00B2613D">
        <w:rPr>
          <w:rFonts w:cs="Arial"/>
          <w:szCs w:val="24"/>
        </w:rPr>
        <w:t>produtos</w:t>
      </w:r>
      <w:r w:rsidR="00B2613D" w:rsidRPr="00244548">
        <w:rPr>
          <w:rFonts w:cs="Arial"/>
          <w:szCs w:val="24"/>
        </w:rPr>
        <w:t xml:space="preserve"> publicada pelo MDIC</w:t>
      </w:r>
      <w:r w:rsidR="00B2613D">
        <w:rPr>
          <w:rFonts w:cs="Arial"/>
          <w:szCs w:val="24"/>
        </w:rPr>
        <w:t>, nos termos da Portaria Conjunta MDIC/MF n</w:t>
      </w:r>
      <w:r w:rsidR="00B2613D" w:rsidRPr="00244548">
        <w:rPr>
          <w:rFonts w:cs="Arial"/>
          <w:szCs w:val="24"/>
        </w:rPr>
        <w:t>º</w:t>
      </w:r>
      <w:r w:rsidR="00B2613D">
        <w:rPr>
          <w:rFonts w:cs="Arial"/>
          <w:szCs w:val="24"/>
        </w:rPr>
        <w:t xml:space="preserve"> 4/2025, de 11 de setembro de 2025</w:t>
      </w:r>
      <w:r w:rsidR="00A8582C">
        <w:rPr>
          <w:rFonts w:cs="Arial"/>
          <w:szCs w:val="24"/>
        </w:rPr>
        <w:t xml:space="preserve">; e (ii) </w:t>
      </w:r>
      <w:r w:rsidR="00A8582C" w:rsidRPr="00A8582C">
        <w:rPr>
          <w:rFonts w:cs="Arial"/>
          <w:szCs w:val="24"/>
        </w:rPr>
        <w:t xml:space="preserve">cujo percentual de faturamento bruto decorrente de exportações de que trata o item </w:t>
      </w:r>
      <w:r w:rsidR="00A8582C">
        <w:rPr>
          <w:rFonts w:cs="Arial"/>
          <w:szCs w:val="24"/>
        </w:rPr>
        <w:t>(i)</w:t>
      </w:r>
      <w:r w:rsidR="00A8582C" w:rsidRPr="00A8582C">
        <w:rPr>
          <w:rFonts w:cs="Arial"/>
          <w:szCs w:val="24"/>
        </w:rPr>
        <w:t>, apurado no período de doze meses entre julho de 2024 e junho de 2025, seja igual ou superior a 1% (um por cento) do faturamento total apurado no mesmo período</w:t>
      </w:r>
      <w:r w:rsidR="00A35F7D">
        <w:rPr>
          <w:rFonts w:cs="Arial"/>
          <w:szCs w:val="24"/>
        </w:rPr>
        <w:t>. Serão elegíveis:</w:t>
      </w:r>
    </w:p>
    <w:p w14:paraId="5C4AC2C4" w14:textId="608F0F0B" w:rsidR="00A35F7D" w:rsidRDefault="00A35F7D" w:rsidP="00A35F7D">
      <w:pPr>
        <w:pStyle w:val="BNDES"/>
        <w:tabs>
          <w:tab w:val="left" w:pos="3544"/>
        </w:tabs>
        <w:spacing w:before="120" w:after="120"/>
        <w:ind w:left="3544" w:hanging="992"/>
        <w:rPr>
          <w:rFonts w:cs="Arial"/>
          <w:szCs w:val="24"/>
        </w:rPr>
      </w:pPr>
      <w:r w:rsidRPr="00A35F7D">
        <w:rPr>
          <w:rFonts w:cs="Arial"/>
          <w:b/>
          <w:bCs/>
          <w:szCs w:val="24"/>
        </w:rPr>
        <w:t>2.</w:t>
      </w:r>
      <w:r w:rsidRPr="005D401F">
        <w:rPr>
          <w:rFonts w:cs="Arial"/>
          <w:b/>
          <w:bCs/>
          <w:szCs w:val="24"/>
        </w:rPr>
        <w:t>1.1.1.</w:t>
      </w:r>
      <w:r>
        <w:rPr>
          <w:rFonts w:cs="Arial"/>
          <w:szCs w:val="24"/>
        </w:rPr>
        <w:tab/>
        <w:t>C</w:t>
      </w:r>
      <w:r w:rsidRPr="00244548">
        <w:rPr>
          <w:rFonts w:cs="Arial"/>
          <w:szCs w:val="24"/>
        </w:rPr>
        <w:t>lientes</w:t>
      </w:r>
      <w:r>
        <w:rPr>
          <w:rFonts w:cs="Arial"/>
          <w:szCs w:val="24"/>
        </w:rPr>
        <w:t xml:space="preserve"> Finais</w:t>
      </w:r>
      <w:r w:rsidRPr="00244548">
        <w:rPr>
          <w:rFonts w:cs="Arial"/>
          <w:szCs w:val="24"/>
        </w:rPr>
        <w:t xml:space="preserve"> cujo percentual de faturamento bruto decorrente de exportações </w:t>
      </w:r>
      <w:r>
        <w:rPr>
          <w:rFonts w:cs="Arial"/>
          <w:szCs w:val="24"/>
        </w:rPr>
        <w:t xml:space="preserve">de que trata o item 2.1.1, </w:t>
      </w:r>
      <w:r w:rsidRPr="00DF3DF1">
        <w:rPr>
          <w:rFonts w:cs="Arial"/>
          <w:szCs w:val="24"/>
        </w:rPr>
        <w:t>apurado no período de doze meses entre julho de 2024 e junho de 2025</w:t>
      </w:r>
      <w:r>
        <w:rPr>
          <w:rFonts w:cs="Arial"/>
          <w:szCs w:val="24"/>
        </w:rPr>
        <w:t>,</w:t>
      </w:r>
      <w:r w:rsidRPr="00244548">
        <w:rPr>
          <w:rFonts w:cs="Arial"/>
          <w:szCs w:val="24"/>
        </w:rPr>
        <w:t xml:space="preserve"> seja </w:t>
      </w:r>
      <w:r w:rsidRPr="00333648">
        <w:rPr>
          <w:rFonts w:cs="Arial"/>
          <w:bCs/>
          <w:szCs w:val="24"/>
        </w:rPr>
        <w:t>igual ou superior a 20% (vinte por cento)</w:t>
      </w:r>
      <w:r>
        <w:rPr>
          <w:rFonts w:cs="Arial"/>
          <w:szCs w:val="24"/>
        </w:rPr>
        <w:t xml:space="preserve">, </w:t>
      </w:r>
      <w:r w:rsidRPr="00244548">
        <w:rPr>
          <w:rFonts w:cs="Arial"/>
          <w:szCs w:val="24"/>
        </w:rPr>
        <w:t xml:space="preserve">hipótese em que poderão acessar </w:t>
      </w:r>
      <w:r w:rsidRPr="00FD5C03">
        <w:rPr>
          <w:rFonts w:cs="Arial"/>
          <w:bCs/>
          <w:szCs w:val="24"/>
        </w:rPr>
        <w:t xml:space="preserve">as modalidades </w:t>
      </w:r>
      <w:r w:rsidRPr="00244548">
        <w:rPr>
          <w:rFonts w:cs="Arial"/>
          <w:szCs w:val="24"/>
        </w:rPr>
        <w:t>Giro Emergencial, Bens de Capital e Investimento</w:t>
      </w:r>
      <w:r>
        <w:rPr>
          <w:rFonts w:cs="Arial"/>
          <w:szCs w:val="24"/>
        </w:rPr>
        <w:t>.</w:t>
      </w:r>
    </w:p>
    <w:p w14:paraId="1C7D3182" w14:textId="183601F3" w:rsidR="00A35F7D" w:rsidRDefault="00A35F7D" w:rsidP="00A35F7D">
      <w:pPr>
        <w:pStyle w:val="BNDES"/>
        <w:tabs>
          <w:tab w:val="left" w:pos="3544"/>
        </w:tabs>
        <w:spacing w:before="120" w:after="120"/>
        <w:ind w:left="3544" w:hanging="992"/>
        <w:rPr>
          <w:rFonts w:cs="Arial"/>
          <w:szCs w:val="24"/>
        </w:rPr>
      </w:pPr>
      <w:r w:rsidRPr="00A35F7D">
        <w:rPr>
          <w:rFonts w:cs="Arial"/>
          <w:b/>
          <w:bCs/>
          <w:szCs w:val="24"/>
        </w:rPr>
        <w:t>2.</w:t>
      </w:r>
      <w:r w:rsidRPr="00924425">
        <w:rPr>
          <w:rFonts w:cs="Arial"/>
          <w:b/>
          <w:bCs/>
          <w:szCs w:val="24"/>
        </w:rPr>
        <w:t>1.1.</w:t>
      </w:r>
      <w:r>
        <w:rPr>
          <w:rFonts w:cs="Arial"/>
          <w:b/>
          <w:bCs/>
          <w:szCs w:val="24"/>
        </w:rPr>
        <w:t>2</w:t>
      </w:r>
      <w:r w:rsidRPr="00924425">
        <w:rPr>
          <w:rFonts w:cs="Arial"/>
          <w:b/>
          <w:bCs/>
          <w:szCs w:val="24"/>
        </w:rPr>
        <w:t>.</w:t>
      </w:r>
      <w:r>
        <w:rPr>
          <w:rFonts w:cs="Arial"/>
          <w:szCs w:val="24"/>
        </w:rPr>
        <w:tab/>
        <w:t>C</w:t>
      </w:r>
      <w:r w:rsidRPr="00244548">
        <w:rPr>
          <w:rFonts w:cs="Arial"/>
          <w:szCs w:val="24"/>
        </w:rPr>
        <w:t>lientes</w:t>
      </w:r>
      <w:r>
        <w:rPr>
          <w:rFonts w:cs="Arial"/>
          <w:szCs w:val="24"/>
        </w:rPr>
        <w:t xml:space="preserve"> Finais </w:t>
      </w:r>
      <w:r w:rsidRPr="00244548">
        <w:rPr>
          <w:rFonts w:cs="Arial"/>
          <w:szCs w:val="24"/>
        </w:rPr>
        <w:t xml:space="preserve">cujo percentual de faturamento bruto decorrente de </w:t>
      </w:r>
      <w:r>
        <w:rPr>
          <w:rFonts w:cs="Arial"/>
          <w:szCs w:val="24"/>
        </w:rPr>
        <w:t xml:space="preserve">exportações de que trata o item 2.1.1, </w:t>
      </w:r>
      <w:r w:rsidRPr="00DF3DF1">
        <w:rPr>
          <w:rFonts w:cs="Arial"/>
          <w:szCs w:val="24"/>
        </w:rPr>
        <w:t>apurado no período de doze meses entre julho de 2024 e junho de 2025</w:t>
      </w:r>
      <w:r>
        <w:rPr>
          <w:rFonts w:cs="Arial"/>
          <w:szCs w:val="24"/>
        </w:rPr>
        <w:t>,</w:t>
      </w:r>
      <w:r w:rsidRPr="00244548">
        <w:rPr>
          <w:rFonts w:cs="Arial"/>
          <w:szCs w:val="24"/>
        </w:rPr>
        <w:t xml:space="preserve"> seja </w:t>
      </w:r>
      <w:bookmarkStart w:id="0" w:name="_Hlk206684427"/>
      <w:r w:rsidRPr="001272A8">
        <w:rPr>
          <w:rFonts w:cs="Arial"/>
          <w:bCs/>
          <w:szCs w:val="24"/>
        </w:rPr>
        <w:t>i</w:t>
      </w:r>
      <w:r w:rsidRPr="00183724">
        <w:rPr>
          <w:rFonts w:cs="Arial"/>
          <w:bCs/>
          <w:szCs w:val="24"/>
        </w:rPr>
        <w:t>g</w:t>
      </w:r>
      <w:r w:rsidRPr="00FD5C03">
        <w:rPr>
          <w:rFonts w:cs="Arial"/>
          <w:bCs/>
          <w:szCs w:val="24"/>
        </w:rPr>
        <w:t xml:space="preserve">ual ou superior a </w:t>
      </w:r>
      <w:r>
        <w:rPr>
          <w:rFonts w:cs="Arial"/>
          <w:bCs/>
          <w:szCs w:val="24"/>
        </w:rPr>
        <w:t>1</w:t>
      </w:r>
      <w:r w:rsidRPr="00FD5C03">
        <w:rPr>
          <w:rFonts w:cs="Arial"/>
          <w:bCs/>
          <w:szCs w:val="24"/>
        </w:rPr>
        <w:t>% (</w:t>
      </w:r>
      <w:r>
        <w:rPr>
          <w:rFonts w:cs="Arial"/>
          <w:bCs/>
          <w:szCs w:val="24"/>
        </w:rPr>
        <w:t>um</w:t>
      </w:r>
      <w:r w:rsidRPr="00FD5C03">
        <w:rPr>
          <w:rFonts w:cs="Arial"/>
          <w:bCs/>
          <w:szCs w:val="24"/>
        </w:rPr>
        <w:t xml:space="preserve"> por cento) e inferior a 20% (vinte por cento)</w:t>
      </w:r>
      <w:bookmarkEnd w:id="0"/>
      <w:r w:rsidRPr="00244548">
        <w:rPr>
          <w:rFonts w:cs="Arial"/>
          <w:szCs w:val="24"/>
        </w:rPr>
        <w:t xml:space="preserve">, hipótese em que poderão acessar exclusivamente a modalidade </w:t>
      </w:r>
      <w:r>
        <w:rPr>
          <w:rFonts w:cs="Arial"/>
          <w:bCs/>
          <w:szCs w:val="24"/>
        </w:rPr>
        <w:t>Giro Emergencial</w:t>
      </w:r>
      <w:r>
        <w:rPr>
          <w:rFonts w:cs="Arial"/>
          <w:szCs w:val="24"/>
        </w:rPr>
        <w:t>.</w:t>
      </w:r>
    </w:p>
    <w:p w14:paraId="2B493E35" w14:textId="08B60240" w:rsidR="004004C7" w:rsidRDefault="009872FE" w:rsidP="009872FE">
      <w:pPr>
        <w:pStyle w:val="BNDES"/>
        <w:tabs>
          <w:tab w:val="left" w:pos="2552"/>
        </w:tabs>
        <w:spacing w:before="120" w:after="120"/>
        <w:ind w:left="2552" w:hanging="851"/>
        <w:rPr>
          <w:rFonts w:cs="Arial"/>
          <w:szCs w:val="24"/>
        </w:rPr>
      </w:pPr>
      <w:r w:rsidRPr="00924425">
        <w:rPr>
          <w:rFonts w:cs="Arial"/>
          <w:b/>
          <w:bCs/>
          <w:szCs w:val="24"/>
        </w:rPr>
        <w:t>2.1.</w:t>
      </w:r>
      <w:r>
        <w:rPr>
          <w:rFonts w:cs="Arial"/>
          <w:b/>
          <w:bCs/>
          <w:szCs w:val="24"/>
        </w:rPr>
        <w:t>2</w:t>
      </w:r>
      <w:r w:rsidRPr="00924425">
        <w:rPr>
          <w:rFonts w:cs="Arial"/>
          <w:b/>
          <w:bCs/>
          <w:szCs w:val="24"/>
        </w:rPr>
        <w:t>.</w:t>
      </w:r>
      <w:r>
        <w:rPr>
          <w:rFonts w:cs="Arial"/>
          <w:szCs w:val="24"/>
        </w:rPr>
        <w:tab/>
      </w:r>
      <w:r w:rsidR="0036614F" w:rsidRPr="005D401F">
        <w:rPr>
          <w:rFonts w:cs="Arial"/>
          <w:b/>
          <w:bCs/>
          <w:szCs w:val="24"/>
        </w:rPr>
        <w:t>Fornecedores da Cadeia Exportadora:</w:t>
      </w:r>
      <w:r w:rsidR="0036614F">
        <w:rPr>
          <w:rFonts w:cs="Arial"/>
          <w:szCs w:val="24"/>
        </w:rPr>
        <w:t xml:space="preserve"> </w:t>
      </w:r>
      <w:r w:rsidRPr="0045235C">
        <w:rPr>
          <w:rFonts w:cs="Arial"/>
          <w:szCs w:val="24"/>
        </w:rPr>
        <w:t>Pessoas jurídicas de direito privado</w:t>
      </w:r>
      <w:r w:rsidR="004004C7">
        <w:rPr>
          <w:rFonts w:cs="Arial"/>
          <w:szCs w:val="24"/>
        </w:rPr>
        <w:t>:</w:t>
      </w:r>
    </w:p>
    <w:p w14:paraId="14C4139C" w14:textId="75B642CE" w:rsidR="009872FE" w:rsidRPr="004004C7" w:rsidRDefault="004004C7" w:rsidP="004004C7">
      <w:pPr>
        <w:pStyle w:val="BNDES"/>
        <w:tabs>
          <w:tab w:val="left" w:pos="2977"/>
        </w:tabs>
        <w:spacing w:before="120" w:after="120"/>
        <w:ind w:left="2977" w:hanging="425"/>
        <w:rPr>
          <w:rFonts w:cs="Arial"/>
          <w:szCs w:val="24"/>
        </w:rPr>
      </w:pPr>
      <w:r w:rsidRPr="004004C7">
        <w:rPr>
          <w:rFonts w:cs="Arial"/>
          <w:b/>
          <w:bCs/>
          <w:szCs w:val="24"/>
        </w:rPr>
        <w:t>a)</w:t>
      </w:r>
      <w:r>
        <w:rPr>
          <w:rFonts w:cs="Arial"/>
          <w:szCs w:val="24"/>
        </w:rPr>
        <w:tab/>
      </w:r>
      <w:r w:rsidR="00163D45" w:rsidRPr="00163D45">
        <w:rPr>
          <w:rFonts w:cs="Arial"/>
          <w:szCs w:val="24"/>
        </w:rPr>
        <w:t xml:space="preserve">que, no período de doze meses entre julho de 2024 e junho de 2025, tenham fornecido bens a pessoa jurídica de direito </w:t>
      </w:r>
      <w:r w:rsidR="00163D45" w:rsidRPr="00163D45">
        <w:rPr>
          <w:rFonts w:cs="Arial"/>
          <w:szCs w:val="24"/>
        </w:rPr>
        <w:lastRenderedPageBreak/>
        <w:t>privado exportadora de bens com faturamento bruto decorrente de exportações afetadas pela imposição de tarifas adicionais sobre exportações brasileiras por países mencionados no art. 5º-A, caput, da Lei nº 9.818, de 23 de agosto de 1999, introduzido pela Medida Provisória nº 1.309, de 13 de agosto de 2025, apurado neste mesmo período,</w:t>
      </w:r>
      <w:r w:rsidR="00B146BC">
        <w:rPr>
          <w:rFonts w:cs="Arial"/>
          <w:szCs w:val="24"/>
        </w:rPr>
        <w:t xml:space="preserve"> que</w:t>
      </w:r>
      <w:r w:rsidR="00163D45" w:rsidRPr="00163D45">
        <w:rPr>
          <w:rFonts w:cs="Arial"/>
          <w:szCs w:val="24"/>
        </w:rPr>
        <w:t xml:space="preserve"> tenha sido igual ou superior a 5% (cinco por cento) do faturamento total apurado</w:t>
      </w:r>
      <w:r w:rsidRPr="004004C7">
        <w:rPr>
          <w:rFonts w:cs="Arial"/>
          <w:szCs w:val="24"/>
        </w:rPr>
        <w:t>; e</w:t>
      </w:r>
    </w:p>
    <w:p w14:paraId="44003502" w14:textId="2035172D" w:rsidR="004004C7" w:rsidRPr="004004C7" w:rsidRDefault="004004C7" w:rsidP="004004C7">
      <w:pPr>
        <w:pStyle w:val="BNDES"/>
        <w:tabs>
          <w:tab w:val="left" w:pos="2977"/>
        </w:tabs>
        <w:spacing w:before="120" w:after="120"/>
        <w:ind w:left="2977" w:hanging="425"/>
        <w:rPr>
          <w:rFonts w:cs="Arial"/>
          <w:szCs w:val="24"/>
        </w:rPr>
      </w:pPr>
      <w:r w:rsidRPr="004004C7">
        <w:rPr>
          <w:rFonts w:cs="Arial"/>
          <w:b/>
          <w:bCs/>
          <w:szCs w:val="24"/>
        </w:rPr>
        <w:t>b)</w:t>
      </w:r>
      <w:r>
        <w:rPr>
          <w:rFonts w:cs="Arial"/>
          <w:szCs w:val="24"/>
        </w:rPr>
        <w:tab/>
      </w:r>
      <w:r w:rsidRPr="004004C7">
        <w:rPr>
          <w:rFonts w:cs="Arial"/>
          <w:szCs w:val="24"/>
        </w:rPr>
        <w:t xml:space="preserve">que apresentem percentual de faturamento bruto decorrente do fornecimento de bens </w:t>
      </w:r>
      <w:r w:rsidR="00163D45">
        <w:rPr>
          <w:rFonts w:cs="Arial"/>
          <w:szCs w:val="24"/>
        </w:rPr>
        <w:t>de que trata a alínea (a)</w:t>
      </w:r>
      <w:r w:rsidRPr="004004C7">
        <w:rPr>
          <w:rFonts w:cs="Arial"/>
          <w:szCs w:val="24"/>
        </w:rPr>
        <w:t>, apurado no mesmo período, igual ou superior a 1% (um por cento) do faturamento total apurado.</w:t>
      </w:r>
    </w:p>
    <w:p w14:paraId="6A3B0FF7" w14:textId="6D5CECFD" w:rsidR="005D401F" w:rsidRDefault="005D401F" w:rsidP="005D401F">
      <w:pPr>
        <w:pStyle w:val="BNDES"/>
        <w:tabs>
          <w:tab w:val="left" w:pos="3544"/>
        </w:tabs>
        <w:spacing w:before="120" w:after="120"/>
        <w:ind w:left="3544" w:hanging="992"/>
        <w:rPr>
          <w:rFonts w:cs="Arial"/>
          <w:szCs w:val="24"/>
        </w:rPr>
      </w:pPr>
      <w:r w:rsidRPr="005D401F">
        <w:rPr>
          <w:rFonts w:cs="Arial"/>
          <w:b/>
          <w:bCs/>
          <w:szCs w:val="24"/>
        </w:rPr>
        <w:t>2.1.2.</w:t>
      </w:r>
      <w:r>
        <w:rPr>
          <w:rFonts w:cs="Arial"/>
          <w:b/>
          <w:bCs/>
          <w:szCs w:val="24"/>
        </w:rPr>
        <w:t>2</w:t>
      </w:r>
      <w:r w:rsidRPr="005D401F">
        <w:rPr>
          <w:rFonts w:cs="Arial"/>
          <w:b/>
          <w:bCs/>
          <w:szCs w:val="24"/>
        </w:rPr>
        <w:t>.</w:t>
      </w:r>
      <w:r>
        <w:rPr>
          <w:rFonts w:cs="Arial"/>
          <w:szCs w:val="24"/>
        </w:rPr>
        <w:tab/>
      </w:r>
      <w:r w:rsidRPr="003F5CCF">
        <w:rPr>
          <w:rFonts w:cs="Arial"/>
          <w:szCs w:val="24"/>
        </w:rPr>
        <w:t xml:space="preserve">As empresas enquadradas nesta categoria poderão acessar exclusivamente a modalidade </w:t>
      </w:r>
      <w:r w:rsidRPr="005D401F">
        <w:rPr>
          <w:rFonts w:cs="Arial"/>
          <w:szCs w:val="24"/>
        </w:rPr>
        <w:t>Giro Emergencial</w:t>
      </w:r>
      <w:r>
        <w:rPr>
          <w:rFonts w:cs="Arial"/>
          <w:szCs w:val="24"/>
        </w:rPr>
        <w:t>.</w:t>
      </w:r>
    </w:p>
    <w:p w14:paraId="0D92105E" w14:textId="24A454B8" w:rsidR="00B2613D" w:rsidRPr="00333648" w:rsidRDefault="0036614F" w:rsidP="005D401F">
      <w:pPr>
        <w:pStyle w:val="BNDES"/>
        <w:tabs>
          <w:tab w:val="left" w:pos="1701"/>
        </w:tabs>
        <w:spacing w:before="120" w:after="120"/>
        <w:ind w:left="1701" w:hanging="567"/>
        <w:rPr>
          <w:b/>
        </w:rPr>
      </w:pPr>
      <w:r w:rsidRPr="005D401F">
        <w:rPr>
          <w:rFonts w:cs="Arial"/>
          <w:b/>
          <w:bCs/>
        </w:rPr>
        <w:t>2.2.</w:t>
      </w:r>
      <w:r>
        <w:rPr>
          <w:rFonts w:cs="Arial"/>
        </w:rPr>
        <w:tab/>
      </w:r>
      <w:r w:rsidR="00B2613D" w:rsidRPr="52C341C4">
        <w:rPr>
          <w:rFonts w:cs="Arial"/>
        </w:rPr>
        <w:t>A elegibilidade e o enquadramento serão verificados mediante consulta</w:t>
      </w:r>
      <w:r w:rsidR="00B2613D" w:rsidRPr="52C341C4" w:rsidDel="00BB71AA">
        <w:rPr>
          <w:rFonts w:cs="Arial"/>
        </w:rPr>
        <w:t xml:space="preserve"> </w:t>
      </w:r>
      <w:r w:rsidR="00B2613D" w:rsidRPr="52C341C4">
        <w:rPr>
          <w:rFonts w:cs="Arial"/>
        </w:rPr>
        <w:t xml:space="preserve">disponibilizada pelo Serviço Federal de Processamento de Dados – Serpro, com informações e dados fornecidos pela Secretaria </w:t>
      </w:r>
      <w:r w:rsidR="00B2613D">
        <w:rPr>
          <w:rFonts w:cs="Arial"/>
        </w:rPr>
        <w:t xml:space="preserve">Especial </w:t>
      </w:r>
      <w:r w:rsidR="00B2613D" w:rsidRPr="52C341C4">
        <w:rPr>
          <w:rFonts w:cs="Arial"/>
        </w:rPr>
        <w:t xml:space="preserve">da Receita Federal do Brasil, observada a Portaria </w:t>
      </w:r>
      <w:r w:rsidR="00B2613D" w:rsidRPr="00F43CCC">
        <w:rPr>
          <w:rFonts w:cs="Arial"/>
          <w:szCs w:val="24"/>
        </w:rPr>
        <w:t>Conjunta MF/MDIC nº 17</w:t>
      </w:r>
      <w:r w:rsidR="00B2613D">
        <w:rPr>
          <w:rFonts w:cs="Arial"/>
          <w:szCs w:val="24"/>
        </w:rPr>
        <w:t>,</w:t>
      </w:r>
      <w:r w:rsidR="00B2613D" w:rsidRPr="00F43CCC">
        <w:rPr>
          <w:rFonts w:cs="Arial"/>
          <w:szCs w:val="24"/>
        </w:rPr>
        <w:t xml:space="preserve"> de 22</w:t>
      </w:r>
      <w:r w:rsidR="00B2613D">
        <w:rPr>
          <w:rFonts w:cs="Arial"/>
          <w:szCs w:val="24"/>
        </w:rPr>
        <w:t>.</w:t>
      </w:r>
      <w:r w:rsidR="00B2613D" w:rsidRPr="00F43CCC">
        <w:rPr>
          <w:rFonts w:cs="Arial"/>
          <w:szCs w:val="24"/>
        </w:rPr>
        <w:t>08</w:t>
      </w:r>
      <w:r w:rsidR="00B2613D">
        <w:rPr>
          <w:rFonts w:cs="Arial"/>
          <w:szCs w:val="24"/>
        </w:rPr>
        <w:t>.</w:t>
      </w:r>
      <w:r w:rsidR="00B2613D" w:rsidRPr="00F43CCC">
        <w:rPr>
          <w:rFonts w:cs="Arial"/>
          <w:szCs w:val="24"/>
        </w:rPr>
        <w:t>2025</w:t>
      </w:r>
      <w:r w:rsidR="00B2613D">
        <w:rPr>
          <w:rFonts w:cs="Arial"/>
          <w:szCs w:val="24"/>
        </w:rPr>
        <w:t>,</w:t>
      </w:r>
      <w:r w:rsidR="00B2613D" w:rsidRPr="52C341C4">
        <w:rPr>
          <w:rFonts w:cs="Arial"/>
        </w:rPr>
        <w:t xml:space="preserve"> </w:t>
      </w:r>
      <w:r w:rsidR="00B2613D" w:rsidRPr="3533830B">
        <w:rPr>
          <w:rFonts w:cs="Arial"/>
          <w:szCs w:val="24"/>
        </w:rPr>
        <w:t>a Portaria Conjunta MDIC/MF nº 4/2025</w:t>
      </w:r>
      <w:r w:rsidR="00B2613D">
        <w:rPr>
          <w:rFonts w:cs="Arial"/>
          <w:szCs w:val="24"/>
        </w:rPr>
        <w:t xml:space="preserve">, </w:t>
      </w:r>
      <w:r w:rsidR="00B2613D" w:rsidRPr="005D50FB">
        <w:rPr>
          <w:rFonts w:cs="Arial"/>
          <w:szCs w:val="24"/>
        </w:rPr>
        <w:t>de 11</w:t>
      </w:r>
      <w:r w:rsidR="00B2613D">
        <w:rPr>
          <w:rFonts w:cs="Arial"/>
          <w:szCs w:val="24"/>
        </w:rPr>
        <w:t xml:space="preserve"> de setembro de </w:t>
      </w:r>
      <w:r w:rsidR="00B2613D" w:rsidRPr="005D50FB">
        <w:rPr>
          <w:rFonts w:cs="Arial"/>
          <w:szCs w:val="24"/>
        </w:rPr>
        <w:t>2025</w:t>
      </w:r>
      <w:r w:rsidR="00B2613D">
        <w:rPr>
          <w:rFonts w:cs="Arial"/>
          <w:szCs w:val="24"/>
        </w:rPr>
        <w:t xml:space="preserve">, </w:t>
      </w:r>
      <w:r w:rsidR="00B2613D" w:rsidRPr="52C341C4">
        <w:rPr>
          <w:rFonts w:cs="Arial"/>
        </w:rPr>
        <w:t xml:space="preserve">e o disposto </w:t>
      </w:r>
      <w:r w:rsidR="00B2613D">
        <w:rPr>
          <w:rFonts w:cs="Arial"/>
        </w:rPr>
        <w:t xml:space="preserve">na </w:t>
      </w:r>
      <w:r w:rsidR="00B2613D" w:rsidRPr="00F43CCC">
        <w:rPr>
          <w:rFonts w:cs="Arial"/>
          <w:szCs w:val="24"/>
        </w:rPr>
        <w:t>Resolução CMN nº 5.242</w:t>
      </w:r>
      <w:r w:rsidR="00B2613D">
        <w:rPr>
          <w:rFonts w:cs="Arial"/>
          <w:szCs w:val="24"/>
        </w:rPr>
        <w:t>,</w:t>
      </w:r>
      <w:r w:rsidR="00B2613D" w:rsidRPr="00F43CCC">
        <w:rPr>
          <w:rFonts w:cs="Arial"/>
          <w:szCs w:val="24"/>
        </w:rPr>
        <w:t xml:space="preserve"> de 22</w:t>
      </w:r>
      <w:r w:rsidR="00B2613D">
        <w:rPr>
          <w:rFonts w:cs="Arial"/>
          <w:szCs w:val="24"/>
        </w:rPr>
        <w:t>.</w:t>
      </w:r>
      <w:r w:rsidR="00B2613D" w:rsidRPr="00F43CCC">
        <w:rPr>
          <w:rFonts w:cs="Arial"/>
          <w:szCs w:val="24"/>
        </w:rPr>
        <w:t>08</w:t>
      </w:r>
      <w:r w:rsidR="00B2613D">
        <w:rPr>
          <w:rFonts w:cs="Arial"/>
          <w:szCs w:val="24"/>
        </w:rPr>
        <w:t>.</w:t>
      </w:r>
      <w:r w:rsidR="00B2613D" w:rsidRPr="00F43CCC">
        <w:rPr>
          <w:rFonts w:cs="Arial"/>
          <w:szCs w:val="24"/>
        </w:rPr>
        <w:t>2025</w:t>
      </w:r>
      <w:r w:rsidR="00B2613D">
        <w:rPr>
          <w:rFonts w:cs="Arial"/>
          <w:szCs w:val="24"/>
        </w:rPr>
        <w:t>.</w:t>
      </w:r>
    </w:p>
    <w:p w14:paraId="378A95E1" w14:textId="7638602B" w:rsidR="00B2613D" w:rsidRDefault="0036614F" w:rsidP="005D401F">
      <w:pPr>
        <w:pStyle w:val="BNDES"/>
        <w:tabs>
          <w:tab w:val="left" w:pos="1701"/>
        </w:tabs>
        <w:spacing w:before="120" w:after="120"/>
        <w:ind w:left="1701" w:hanging="567"/>
        <w:rPr>
          <w:bCs/>
        </w:rPr>
      </w:pPr>
      <w:r w:rsidRPr="005D401F">
        <w:rPr>
          <w:b/>
        </w:rPr>
        <w:t>2.3.</w:t>
      </w:r>
      <w:r>
        <w:rPr>
          <w:bCs/>
        </w:rPr>
        <w:tab/>
      </w:r>
      <w:r w:rsidR="00B2613D" w:rsidRPr="00333648">
        <w:rPr>
          <w:bCs/>
        </w:rPr>
        <w:t>A elegibilidade e o enquadramento</w:t>
      </w:r>
      <w:r w:rsidR="00B2613D">
        <w:rPr>
          <w:bCs/>
        </w:rPr>
        <w:t xml:space="preserve"> </w:t>
      </w:r>
      <w:r w:rsidR="00B2613D" w:rsidRPr="002269FA">
        <w:rPr>
          <w:bCs/>
        </w:rPr>
        <w:t>quanto aos critérios previstos na Portaria Conjunta MF/MDIC nº 17</w:t>
      </w:r>
      <w:r w:rsidR="0044638D">
        <w:rPr>
          <w:bCs/>
        </w:rPr>
        <w:t>,</w:t>
      </w:r>
      <w:r w:rsidR="00B2613D" w:rsidRPr="002269FA">
        <w:rPr>
          <w:bCs/>
        </w:rPr>
        <w:t xml:space="preserve"> de 22</w:t>
      </w:r>
      <w:r w:rsidR="00B2613D">
        <w:rPr>
          <w:bCs/>
        </w:rPr>
        <w:t>.</w:t>
      </w:r>
      <w:r w:rsidR="00B2613D" w:rsidRPr="002269FA">
        <w:rPr>
          <w:bCs/>
        </w:rPr>
        <w:t>08</w:t>
      </w:r>
      <w:r w:rsidR="00B2613D">
        <w:rPr>
          <w:bCs/>
        </w:rPr>
        <w:t>.</w:t>
      </w:r>
      <w:r w:rsidR="00B2613D" w:rsidRPr="002269FA">
        <w:rPr>
          <w:bCs/>
        </w:rPr>
        <w:t>2025</w:t>
      </w:r>
      <w:r w:rsidR="0044638D">
        <w:rPr>
          <w:bCs/>
        </w:rPr>
        <w:t>,</w:t>
      </w:r>
      <w:r w:rsidR="00B2613D" w:rsidRPr="002269FA">
        <w:rPr>
          <w:bCs/>
        </w:rPr>
        <w:t xml:space="preserve"> e Resolução CMN nº 5.242</w:t>
      </w:r>
      <w:r w:rsidR="0044638D">
        <w:rPr>
          <w:bCs/>
        </w:rPr>
        <w:t>,</w:t>
      </w:r>
      <w:r w:rsidR="00B2613D" w:rsidRPr="002269FA">
        <w:rPr>
          <w:bCs/>
        </w:rPr>
        <w:t xml:space="preserve"> de 22</w:t>
      </w:r>
      <w:r w:rsidR="00B2613D">
        <w:rPr>
          <w:bCs/>
        </w:rPr>
        <w:t>.</w:t>
      </w:r>
      <w:r w:rsidR="00B2613D" w:rsidRPr="002269FA">
        <w:rPr>
          <w:bCs/>
        </w:rPr>
        <w:t>08</w:t>
      </w:r>
      <w:r w:rsidR="00B2613D">
        <w:rPr>
          <w:bCs/>
        </w:rPr>
        <w:t>.</w:t>
      </w:r>
      <w:r w:rsidR="00B2613D" w:rsidRPr="002269FA">
        <w:rPr>
          <w:bCs/>
        </w:rPr>
        <w:t>2025</w:t>
      </w:r>
      <w:r w:rsidR="0044638D">
        <w:rPr>
          <w:bCs/>
        </w:rPr>
        <w:t>,</w:t>
      </w:r>
      <w:r w:rsidR="00B2613D" w:rsidRPr="002269FA">
        <w:rPr>
          <w:bCs/>
        </w:rPr>
        <w:t xml:space="preserve"> </w:t>
      </w:r>
      <w:r w:rsidR="00B2613D" w:rsidRPr="00333648">
        <w:rPr>
          <w:bCs/>
        </w:rPr>
        <w:t>deverão estar válidos no momento da contratação da operação de financiamento.</w:t>
      </w:r>
    </w:p>
    <w:p w14:paraId="5AA4A743" w14:textId="03363DD7" w:rsidR="00B2613D" w:rsidRDefault="0036614F" w:rsidP="005D401F">
      <w:pPr>
        <w:pStyle w:val="BNDES"/>
        <w:tabs>
          <w:tab w:val="left" w:pos="1701"/>
        </w:tabs>
        <w:spacing w:before="120" w:after="120"/>
        <w:ind w:left="1701" w:hanging="567"/>
        <w:rPr>
          <w:bCs/>
        </w:rPr>
      </w:pPr>
      <w:r w:rsidRPr="005D401F">
        <w:rPr>
          <w:b/>
        </w:rPr>
        <w:t>2.4.</w:t>
      </w:r>
      <w:r>
        <w:rPr>
          <w:bCs/>
        </w:rPr>
        <w:tab/>
      </w:r>
      <w:r w:rsidR="00B2613D" w:rsidRPr="00333648">
        <w:rPr>
          <w:bCs/>
        </w:rPr>
        <w:t>Não serão elegíveis ao apoio deste Programa as empresas comerciais exportadoras</w:t>
      </w:r>
      <w:r w:rsidR="00B2613D">
        <w:rPr>
          <w:bCs/>
        </w:rPr>
        <w:t>.</w:t>
      </w:r>
    </w:p>
    <w:p w14:paraId="79B19CF6" w14:textId="4D21C482" w:rsidR="00B2613D" w:rsidRPr="00CC0C19" w:rsidRDefault="0036614F" w:rsidP="005D401F">
      <w:pPr>
        <w:pStyle w:val="BNDES"/>
        <w:tabs>
          <w:tab w:val="left" w:pos="1701"/>
        </w:tabs>
        <w:spacing w:before="120" w:after="120"/>
        <w:ind w:left="1701" w:hanging="567"/>
        <w:rPr>
          <w:bCs/>
        </w:rPr>
      </w:pPr>
      <w:r w:rsidRPr="005D401F">
        <w:rPr>
          <w:rFonts w:cs="Arial"/>
          <w:b/>
          <w:bCs/>
          <w:szCs w:val="24"/>
        </w:rPr>
        <w:t>2.5.</w:t>
      </w:r>
      <w:r>
        <w:rPr>
          <w:rFonts w:cs="Arial"/>
          <w:szCs w:val="24"/>
        </w:rPr>
        <w:tab/>
      </w:r>
      <w:r w:rsidR="00B2613D" w:rsidRPr="001272A8">
        <w:rPr>
          <w:rFonts w:cs="Arial"/>
          <w:szCs w:val="24"/>
        </w:rPr>
        <w:t xml:space="preserve">Incluem-se no conceito de pessoa jurídica, para fins deste </w:t>
      </w:r>
      <w:r w:rsidR="00B2613D">
        <w:rPr>
          <w:rFonts w:cs="Arial"/>
          <w:szCs w:val="24"/>
        </w:rPr>
        <w:t>Programa</w:t>
      </w:r>
      <w:r w:rsidR="00B2613D" w:rsidRPr="001272A8">
        <w:rPr>
          <w:rFonts w:cs="Arial"/>
          <w:szCs w:val="24"/>
        </w:rPr>
        <w:t>, as pessoas físicas que atuem por meio de uma das seguintes espécies jurídicas</w:t>
      </w:r>
      <w:r w:rsidR="00B2613D">
        <w:rPr>
          <w:rFonts w:cs="Arial"/>
          <w:szCs w:val="24"/>
        </w:rPr>
        <w:t>:</w:t>
      </w:r>
    </w:p>
    <w:p w14:paraId="2DDF9197" w14:textId="7D6CC662" w:rsidR="00B2613D" w:rsidRDefault="00B2613D" w:rsidP="005D401F">
      <w:pPr>
        <w:pStyle w:val="BNDES"/>
        <w:tabs>
          <w:tab w:val="left" w:pos="2127"/>
        </w:tabs>
        <w:spacing w:before="120" w:after="120"/>
        <w:ind w:left="2127" w:hanging="426"/>
        <w:rPr>
          <w:bCs/>
        </w:rPr>
      </w:pPr>
      <w:r w:rsidRPr="00AD2A70">
        <w:rPr>
          <w:b/>
        </w:rPr>
        <w:t>a)</w:t>
      </w:r>
      <w:r w:rsidR="0036614F">
        <w:rPr>
          <w:b/>
        </w:rPr>
        <w:tab/>
      </w:r>
      <w:r>
        <w:rPr>
          <w:bCs/>
        </w:rPr>
        <w:t>empresas individuais constituídas na forma estabelecida nos arts. 966 a 969 da Lei n</w:t>
      </w:r>
      <w:r w:rsidRPr="002269FA">
        <w:rPr>
          <w:bCs/>
        </w:rPr>
        <w:t>º</w:t>
      </w:r>
      <w:r>
        <w:rPr>
          <w:bCs/>
        </w:rPr>
        <w:t xml:space="preserve"> 10.406, de 10 de janeiro de 2002 – Código Civil;</w:t>
      </w:r>
    </w:p>
    <w:p w14:paraId="74E10A05" w14:textId="74F1E434" w:rsidR="00B2613D" w:rsidRDefault="00B2613D" w:rsidP="005D401F">
      <w:pPr>
        <w:pStyle w:val="BNDES"/>
        <w:tabs>
          <w:tab w:val="left" w:pos="2127"/>
        </w:tabs>
        <w:spacing w:before="120" w:after="120"/>
        <w:ind w:left="2127" w:hanging="426"/>
        <w:rPr>
          <w:bCs/>
        </w:rPr>
      </w:pPr>
      <w:r w:rsidRPr="00AD2A70">
        <w:rPr>
          <w:b/>
        </w:rPr>
        <w:t>b)</w:t>
      </w:r>
      <w:r w:rsidR="0036614F">
        <w:rPr>
          <w:b/>
        </w:rPr>
        <w:tab/>
      </w:r>
      <w:r>
        <w:rPr>
          <w:bCs/>
        </w:rPr>
        <w:t>microempreendedores individuais (MEI) de que trata o art. 18-A da Lei Complementar n</w:t>
      </w:r>
      <w:r w:rsidRPr="002269FA">
        <w:rPr>
          <w:bCs/>
        </w:rPr>
        <w:t>º</w:t>
      </w:r>
      <w:r>
        <w:rPr>
          <w:bCs/>
        </w:rPr>
        <w:t xml:space="preserve"> 123, de 14 de dezembro de 2006; ou</w:t>
      </w:r>
    </w:p>
    <w:p w14:paraId="784A5C8C" w14:textId="4F76ABFB" w:rsidR="00B2613D" w:rsidRPr="00333648" w:rsidRDefault="00B2613D" w:rsidP="005D401F">
      <w:pPr>
        <w:pStyle w:val="BNDES"/>
        <w:tabs>
          <w:tab w:val="left" w:pos="2127"/>
        </w:tabs>
        <w:spacing w:before="120" w:after="120"/>
        <w:ind w:left="2127" w:hanging="426"/>
        <w:rPr>
          <w:bCs/>
        </w:rPr>
      </w:pPr>
      <w:r w:rsidRPr="00AD2A70">
        <w:rPr>
          <w:b/>
        </w:rPr>
        <w:t>c)</w:t>
      </w:r>
      <w:r w:rsidR="0036614F">
        <w:rPr>
          <w:b/>
        </w:rPr>
        <w:tab/>
      </w:r>
      <w:r>
        <w:rPr>
          <w:bCs/>
        </w:rPr>
        <w:t>produtores rurais pessoa física com inscrição no Cadastro Nacional da Pessoa Jurídica (CNPJ).</w:t>
      </w:r>
      <w:r w:rsidR="0036614F">
        <w:rPr>
          <w:bCs/>
        </w:rPr>
        <w:t>”</w:t>
      </w:r>
    </w:p>
    <w:p w14:paraId="50D393D7" w14:textId="314362C8" w:rsidR="00F4151E" w:rsidRPr="00144146" w:rsidRDefault="00F4151E" w:rsidP="00F4151E">
      <w:pPr>
        <w:pStyle w:val="BNDES"/>
        <w:numPr>
          <w:ilvl w:val="0"/>
          <w:numId w:val="23"/>
        </w:numPr>
        <w:tabs>
          <w:tab w:val="left" w:pos="567"/>
        </w:tabs>
        <w:spacing w:before="120" w:after="120"/>
        <w:ind w:left="567" w:hanging="567"/>
        <w:rPr>
          <w:rFonts w:cs="Arial"/>
        </w:rPr>
      </w:pPr>
      <w:r>
        <w:t>Fica alterado o item 4.1, nos termos abaixo</w:t>
      </w:r>
      <w:r w:rsidRPr="00144146">
        <w:t>:</w:t>
      </w:r>
    </w:p>
    <w:p w14:paraId="5FDB6D41" w14:textId="27647060" w:rsidR="00F4151E" w:rsidRDefault="00F4151E" w:rsidP="004004C7">
      <w:pPr>
        <w:pStyle w:val="BNDES"/>
        <w:tabs>
          <w:tab w:val="left" w:pos="1276"/>
        </w:tabs>
        <w:spacing w:before="120" w:after="120"/>
        <w:ind w:left="1276" w:hanging="709"/>
      </w:pPr>
      <w:r w:rsidRPr="00AD5A13">
        <w:t>“</w:t>
      </w:r>
      <w:r w:rsidRPr="004004C7">
        <w:rPr>
          <w:b/>
          <w:bCs/>
        </w:rPr>
        <w:t>4.</w:t>
      </w:r>
      <w:r w:rsidRPr="005D401F">
        <w:rPr>
          <w:b/>
          <w:bCs/>
        </w:rPr>
        <w:t>1.</w:t>
      </w:r>
      <w:r>
        <w:rPr>
          <w:b/>
          <w:bCs/>
        </w:rPr>
        <w:tab/>
      </w:r>
      <w:r w:rsidRPr="005D401F">
        <w:rPr>
          <w:b/>
          <w:bCs/>
        </w:rPr>
        <w:t>Objetivos</w:t>
      </w:r>
    </w:p>
    <w:p w14:paraId="7FFB41C2" w14:textId="582CCE4B" w:rsidR="00F4151E" w:rsidRDefault="00F4151E" w:rsidP="004004C7">
      <w:pPr>
        <w:pStyle w:val="BNDES"/>
        <w:spacing w:before="120" w:after="120"/>
        <w:ind w:left="1276"/>
        <w:rPr>
          <w:rFonts w:cs="Arial"/>
          <w:szCs w:val="24"/>
        </w:rPr>
      </w:pPr>
      <w:r>
        <w:rPr>
          <w:rFonts w:cs="Arial"/>
          <w:szCs w:val="24"/>
        </w:rPr>
        <w:t>Apoiar a necessidade de liquidez de</w:t>
      </w:r>
      <w:r w:rsidRPr="00CC44DE">
        <w:rPr>
          <w:rFonts w:cs="Arial"/>
          <w:szCs w:val="24"/>
        </w:rPr>
        <w:t xml:space="preserve"> </w:t>
      </w:r>
      <w:r w:rsidRPr="00924762">
        <w:rPr>
          <w:rFonts w:cs="Arial"/>
          <w:szCs w:val="24"/>
        </w:rPr>
        <w:t>exportador</w:t>
      </w:r>
      <w:r>
        <w:rPr>
          <w:rFonts w:cs="Arial"/>
          <w:szCs w:val="24"/>
        </w:rPr>
        <w:t>e</w:t>
      </w:r>
      <w:r w:rsidRPr="00924762">
        <w:rPr>
          <w:rFonts w:cs="Arial"/>
          <w:szCs w:val="24"/>
        </w:rPr>
        <w:t xml:space="preserve">s de bens, </w:t>
      </w:r>
      <w:r>
        <w:rPr>
          <w:rFonts w:cs="Arial"/>
          <w:szCs w:val="24"/>
        </w:rPr>
        <w:t>bem como seus fornecedores</w:t>
      </w:r>
      <w:r w:rsidR="00163D45">
        <w:rPr>
          <w:rFonts w:cs="Arial"/>
          <w:szCs w:val="24"/>
        </w:rPr>
        <w:t xml:space="preserve"> de bens</w:t>
      </w:r>
      <w:r>
        <w:rPr>
          <w:rFonts w:cs="Arial"/>
          <w:szCs w:val="24"/>
        </w:rPr>
        <w:t xml:space="preserve">, </w:t>
      </w:r>
      <w:r w:rsidRPr="00924762">
        <w:rPr>
          <w:rFonts w:cs="Arial"/>
          <w:szCs w:val="24"/>
        </w:rPr>
        <w:t>especialmente aqueles impactados pela imposição de tarifas adicionais sobre exportações brasileiras</w:t>
      </w:r>
      <w:r>
        <w:rPr>
          <w:rStyle w:val="Refdecomentrio"/>
        </w:rPr>
        <w:t xml:space="preserve">, </w:t>
      </w:r>
      <w:r w:rsidRPr="008E1764">
        <w:rPr>
          <w:rFonts w:cs="Arial"/>
          <w:szCs w:val="24"/>
        </w:rPr>
        <w:t>p</w:t>
      </w:r>
      <w:r>
        <w:rPr>
          <w:rFonts w:cs="Arial"/>
          <w:szCs w:val="24"/>
        </w:rPr>
        <w:t xml:space="preserve">or meio da oferta de capital de </w:t>
      </w:r>
      <w:r>
        <w:rPr>
          <w:rFonts w:cs="Arial"/>
          <w:szCs w:val="24"/>
        </w:rPr>
        <w:lastRenderedPageBreak/>
        <w:t>giro, para a</w:t>
      </w:r>
      <w:r w:rsidRPr="00924762">
        <w:rPr>
          <w:rFonts w:cs="Arial"/>
          <w:szCs w:val="24"/>
        </w:rPr>
        <w:t xml:space="preserve"> manutenção da atividade econômica, </w:t>
      </w:r>
      <w:r>
        <w:rPr>
          <w:rFonts w:cs="Arial"/>
          <w:szCs w:val="24"/>
        </w:rPr>
        <w:t>a</w:t>
      </w:r>
      <w:r w:rsidRPr="00924762">
        <w:rPr>
          <w:rFonts w:cs="Arial"/>
          <w:szCs w:val="24"/>
        </w:rPr>
        <w:t xml:space="preserve"> preservação e </w:t>
      </w:r>
      <w:r>
        <w:rPr>
          <w:rFonts w:cs="Arial"/>
          <w:szCs w:val="24"/>
        </w:rPr>
        <w:t>a</w:t>
      </w:r>
      <w:r w:rsidRPr="00924762">
        <w:rPr>
          <w:rFonts w:cs="Arial"/>
          <w:szCs w:val="24"/>
        </w:rPr>
        <w:t xml:space="preserve"> geração de empregos</w:t>
      </w:r>
      <w:r>
        <w:rPr>
          <w:bCs/>
        </w:rPr>
        <w:t>.</w:t>
      </w:r>
      <w:r>
        <w:rPr>
          <w:rFonts w:cs="Arial"/>
          <w:szCs w:val="24"/>
        </w:rPr>
        <w:t>”</w:t>
      </w:r>
    </w:p>
    <w:p w14:paraId="627DD7DB" w14:textId="25B20737" w:rsidR="004004C7" w:rsidRPr="00144146" w:rsidRDefault="004004C7" w:rsidP="004004C7">
      <w:pPr>
        <w:pStyle w:val="BNDES"/>
        <w:numPr>
          <w:ilvl w:val="0"/>
          <w:numId w:val="23"/>
        </w:numPr>
        <w:tabs>
          <w:tab w:val="left" w:pos="567"/>
        </w:tabs>
        <w:spacing w:before="120" w:after="120"/>
        <w:ind w:left="567" w:hanging="567"/>
        <w:rPr>
          <w:rFonts w:cs="Arial"/>
        </w:rPr>
      </w:pPr>
      <w:r>
        <w:t>Fica alterado o item 4.3.1.1, nos termos abaixo</w:t>
      </w:r>
      <w:r w:rsidRPr="00144146">
        <w:t>:</w:t>
      </w:r>
    </w:p>
    <w:p w14:paraId="10CED649" w14:textId="238F9332" w:rsidR="004004C7" w:rsidRDefault="004004C7" w:rsidP="00D07627">
      <w:pPr>
        <w:pStyle w:val="BNDES"/>
        <w:keepNext/>
        <w:tabs>
          <w:tab w:val="left" w:pos="1701"/>
        </w:tabs>
        <w:spacing w:before="120" w:after="120"/>
        <w:ind w:left="1701" w:hanging="1134"/>
      </w:pPr>
      <w:r w:rsidRPr="00AD5A13">
        <w:t>“</w:t>
      </w:r>
      <w:r w:rsidRPr="004004C7">
        <w:rPr>
          <w:b/>
          <w:bCs/>
        </w:rPr>
        <w:t>4.</w:t>
      </w:r>
      <w:r>
        <w:rPr>
          <w:b/>
          <w:bCs/>
        </w:rPr>
        <w:t>3.1.</w:t>
      </w:r>
      <w:r w:rsidRPr="005D401F">
        <w:rPr>
          <w:b/>
          <w:bCs/>
        </w:rPr>
        <w:t>1.</w:t>
      </w:r>
      <w:r>
        <w:rPr>
          <w:b/>
          <w:bCs/>
        </w:rPr>
        <w:tab/>
        <w:t>Custo Financeiro</w:t>
      </w:r>
    </w:p>
    <w:tbl>
      <w:tblPr>
        <w:tblW w:w="6662" w:type="dxa"/>
        <w:tblInd w:w="1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127"/>
        <w:gridCol w:w="1559"/>
      </w:tblGrid>
      <w:tr w:rsidR="00B5605A" w:rsidRPr="000C0BCB" w14:paraId="648B9BD4" w14:textId="77777777" w:rsidTr="00D07627">
        <w:trPr>
          <w:cantSplit/>
          <w:trHeight w:val="582"/>
        </w:trPr>
        <w:tc>
          <w:tcPr>
            <w:tcW w:w="2976" w:type="dxa"/>
            <w:shd w:val="clear" w:color="auto" w:fill="EAF1DD"/>
            <w:vAlign w:val="center"/>
          </w:tcPr>
          <w:p w14:paraId="3A7EED0F" w14:textId="12CDF38B" w:rsidR="00B5605A" w:rsidRPr="000C0BCB" w:rsidRDefault="00B5605A" w:rsidP="00D07627">
            <w:pPr>
              <w:keepNext/>
              <w:ind w:left="-39"/>
              <w:jc w:val="center"/>
              <w:rPr>
                <w:rFonts w:ascii="Arial" w:hAnsi="Arial" w:cs="Arial"/>
                <w:b/>
                <w:sz w:val="18"/>
                <w:szCs w:val="18"/>
              </w:rPr>
            </w:pPr>
            <w:bookmarkStart w:id="1" w:name="_Hlk201568910"/>
            <w:r>
              <w:rPr>
                <w:rFonts w:ascii="Arial" w:hAnsi="Arial" w:cs="Arial"/>
                <w:b/>
                <w:sz w:val="18"/>
                <w:szCs w:val="18"/>
              </w:rPr>
              <w:t>Cliente Final</w:t>
            </w:r>
          </w:p>
        </w:tc>
        <w:tc>
          <w:tcPr>
            <w:tcW w:w="2127" w:type="dxa"/>
            <w:shd w:val="clear" w:color="auto" w:fill="EAF1DD"/>
            <w:vAlign w:val="center"/>
          </w:tcPr>
          <w:p w14:paraId="1F367D3C" w14:textId="3DA2B9D4" w:rsidR="00B5605A" w:rsidRPr="000C0BCB" w:rsidRDefault="00B5605A" w:rsidP="00D07627">
            <w:pPr>
              <w:keepNext/>
              <w:jc w:val="center"/>
              <w:rPr>
                <w:rFonts w:ascii="Arial" w:hAnsi="Arial" w:cs="Arial"/>
                <w:b/>
                <w:sz w:val="18"/>
                <w:szCs w:val="18"/>
              </w:rPr>
            </w:pPr>
            <w:r>
              <w:rPr>
                <w:rFonts w:ascii="Arial" w:hAnsi="Arial" w:cs="Arial"/>
                <w:b/>
                <w:sz w:val="18"/>
                <w:szCs w:val="18"/>
              </w:rPr>
              <w:t>Porte</w:t>
            </w:r>
          </w:p>
        </w:tc>
        <w:tc>
          <w:tcPr>
            <w:tcW w:w="1559" w:type="dxa"/>
            <w:shd w:val="clear" w:color="auto" w:fill="EAF1DD"/>
            <w:vAlign w:val="center"/>
          </w:tcPr>
          <w:p w14:paraId="086F2B0F" w14:textId="01E51B34" w:rsidR="00B5605A" w:rsidRPr="000C0BCB" w:rsidRDefault="00B5605A" w:rsidP="00D07627">
            <w:pPr>
              <w:keepNext/>
              <w:jc w:val="center"/>
              <w:rPr>
                <w:rFonts w:ascii="Arial" w:hAnsi="Arial" w:cs="Arial"/>
                <w:b/>
                <w:sz w:val="18"/>
                <w:szCs w:val="18"/>
              </w:rPr>
            </w:pPr>
            <w:r>
              <w:rPr>
                <w:rFonts w:ascii="Arial" w:hAnsi="Arial" w:cs="Arial"/>
                <w:b/>
                <w:sz w:val="18"/>
                <w:szCs w:val="18"/>
              </w:rPr>
              <w:t>Taxa de Juros (a.a.)</w:t>
            </w:r>
          </w:p>
        </w:tc>
      </w:tr>
      <w:tr w:rsidR="00B5605A" w:rsidRPr="000C0BCB" w14:paraId="24EA9F74" w14:textId="77777777" w:rsidTr="00B5605A">
        <w:trPr>
          <w:trHeight w:val="454"/>
        </w:trPr>
        <w:tc>
          <w:tcPr>
            <w:tcW w:w="2976" w:type="dxa"/>
            <w:vMerge w:val="restart"/>
            <w:vAlign w:val="center"/>
          </w:tcPr>
          <w:p w14:paraId="45E513A9" w14:textId="7AB7B4C9" w:rsidR="00B5605A" w:rsidRPr="00B5605A" w:rsidRDefault="00B5605A" w:rsidP="00D07627">
            <w:pPr>
              <w:keepNext/>
              <w:ind w:left="-39"/>
              <w:rPr>
                <w:rFonts w:ascii="Arial" w:hAnsi="Arial" w:cs="Arial"/>
                <w:sz w:val="18"/>
                <w:szCs w:val="18"/>
              </w:rPr>
            </w:pPr>
            <w:r w:rsidRPr="00B5605A">
              <w:rPr>
                <w:rFonts w:ascii="Arial" w:hAnsi="Arial" w:cs="Arial"/>
                <w:sz w:val="18"/>
                <w:szCs w:val="18"/>
              </w:rPr>
              <w:t>Exportadores</w:t>
            </w:r>
            <w:r>
              <w:rPr>
                <w:rFonts w:ascii="Arial" w:hAnsi="Arial" w:cs="Arial"/>
                <w:sz w:val="18"/>
                <w:szCs w:val="18"/>
              </w:rPr>
              <w:t xml:space="preserve"> </w:t>
            </w:r>
            <w:r w:rsidR="000F33C1">
              <w:rPr>
                <w:rFonts w:ascii="Arial" w:hAnsi="Arial" w:cs="Arial"/>
                <w:sz w:val="18"/>
                <w:szCs w:val="18"/>
              </w:rPr>
              <w:t xml:space="preserve">definidos no </w:t>
            </w:r>
            <w:r>
              <w:rPr>
                <w:rFonts w:ascii="Arial" w:hAnsi="Arial" w:cs="Arial"/>
                <w:sz w:val="18"/>
                <w:szCs w:val="18"/>
              </w:rPr>
              <w:t>item 2.1.1.1</w:t>
            </w:r>
          </w:p>
        </w:tc>
        <w:tc>
          <w:tcPr>
            <w:tcW w:w="2127" w:type="dxa"/>
            <w:vAlign w:val="center"/>
          </w:tcPr>
          <w:p w14:paraId="666A9339" w14:textId="1EBE8684" w:rsidR="00B5605A" w:rsidRPr="00B5605A" w:rsidRDefault="00B5605A" w:rsidP="00D07627">
            <w:pPr>
              <w:keepNext/>
              <w:jc w:val="center"/>
              <w:rPr>
                <w:rFonts w:ascii="Arial" w:hAnsi="Arial" w:cs="Arial"/>
                <w:sz w:val="18"/>
                <w:szCs w:val="18"/>
              </w:rPr>
            </w:pPr>
            <w:r w:rsidRPr="00B5605A">
              <w:rPr>
                <w:rFonts w:ascii="Arial" w:hAnsi="Arial" w:cs="Arial"/>
                <w:sz w:val="18"/>
                <w:szCs w:val="18"/>
              </w:rPr>
              <w:t>Micro, Pequena e Média Empresa</w:t>
            </w:r>
          </w:p>
        </w:tc>
        <w:tc>
          <w:tcPr>
            <w:tcW w:w="1559" w:type="dxa"/>
            <w:vAlign w:val="center"/>
          </w:tcPr>
          <w:p w14:paraId="03317E6F" w14:textId="65B389E9" w:rsidR="00B5605A" w:rsidRPr="00B5605A" w:rsidRDefault="00B5605A" w:rsidP="00D07627">
            <w:pPr>
              <w:keepNext/>
              <w:jc w:val="center"/>
              <w:rPr>
                <w:rFonts w:ascii="Arial" w:hAnsi="Arial" w:cs="Arial"/>
                <w:sz w:val="18"/>
                <w:szCs w:val="18"/>
              </w:rPr>
            </w:pPr>
            <w:r>
              <w:rPr>
                <w:rFonts w:ascii="Arial" w:hAnsi="Arial" w:cs="Arial"/>
                <w:sz w:val="18"/>
                <w:szCs w:val="18"/>
              </w:rPr>
              <w:t>2%</w:t>
            </w:r>
          </w:p>
        </w:tc>
      </w:tr>
      <w:tr w:rsidR="00B5605A" w:rsidRPr="000C0BCB" w14:paraId="13B697F4" w14:textId="77777777" w:rsidTr="00B5605A">
        <w:trPr>
          <w:trHeight w:val="454"/>
        </w:trPr>
        <w:tc>
          <w:tcPr>
            <w:tcW w:w="2976" w:type="dxa"/>
            <w:vMerge/>
            <w:vAlign w:val="center"/>
          </w:tcPr>
          <w:p w14:paraId="14248944" w14:textId="77777777" w:rsidR="00B5605A" w:rsidRPr="00B5605A" w:rsidRDefault="00B5605A" w:rsidP="00D07627">
            <w:pPr>
              <w:keepNext/>
              <w:ind w:left="-39"/>
              <w:rPr>
                <w:rFonts w:ascii="Arial" w:hAnsi="Arial" w:cs="Arial"/>
                <w:sz w:val="18"/>
                <w:szCs w:val="18"/>
              </w:rPr>
            </w:pPr>
          </w:p>
        </w:tc>
        <w:tc>
          <w:tcPr>
            <w:tcW w:w="2127" w:type="dxa"/>
            <w:vAlign w:val="center"/>
          </w:tcPr>
          <w:p w14:paraId="58B2B58A" w14:textId="0E3B3186" w:rsidR="00B5605A" w:rsidRPr="00B5605A" w:rsidRDefault="00B5605A" w:rsidP="00D07627">
            <w:pPr>
              <w:keepNext/>
              <w:jc w:val="center"/>
              <w:rPr>
                <w:rFonts w:ascii="Arial" w:hAnsi="Arial" w:cs="Arial"/>
                <w:sz w:val="18"/>
                <w:szCs w:val="18"/>
              </w:rPr>
            </w:pPr>
            <w:r w:rsidRPr="00B5605A">
              <w:rPr>
                <w:rFonts w:ascii="Arial" w:hAnsi="Arial" w:cs="Arial"/>
                <w:sz w:val="18"/>
                <w:szCs w:val="18"/>
              </w:rPr>
              <w:t>Grande Empresa</w:t>
            </w:r>
          </w:p>
        </w:tc>
        <w:tc>
          <w:tcPr>
            <w:tcW w:w="1559" w:type="dxa"/>
            <w:vAlign w:val="center"/>
          </w:tcPr>
          <w:p w14:paraId="5AEB660B" w14:textId="347E543D" w:rsidR="00B5605A" w:rsidRPr="00B5605A" w:rsidRDefault="00B5605A" w:rsidP="00D07627">
            <w:pPr>
              <w:keepNext/>
              <w:jc w:val="center"/>
              <w:rPr>
                <w:rFonts w:ascii="Arial" w:hAnsi="Arial" w:cs="Arial"/>
                <w:sz w:val="18"/>
                <w:szCs w:val="18"/>
              </w:rPr>
            </w:pPr>
            <w:r>
              <w:rPr>
                <w:rFonts w:ascii="Arial" w:hAnsi="Arial" w:cs="Arial"/>
                <w:sz w:val="18"/>
                <w:szCs w:val="18"/>
              </w:rPr>
              <w:t>4%</w:t>
            </w:r>
          </w:p>
        </w:tc>
      </w:tr>
      <w:tr w:rsidR="00B5605A" w:rsidRPr="000C0BCB" w14:paraId="13F30A95" w14:textId="77777777" w:rsidTr="00B5605A">
        <w:trPr>
          <w:trHeight w:val="454"/>
        </w:trPr>
        <w:tc>
          <w:tcPr>
            <w:tcW w:w="2976" w:type="dxa"/>
            <w:vMerge w:val="restart"/>
            <w:vAlign w:val="center"/>
          </w:tcPr>
          <w:p w14:paraId="6000C739" w14:textId="20466911" w:rsidR="00B5605A" w:rsidRPr="00B5605A" w:rsidRDefault="00B5605A" w:rsidP="00D07627">
            <w:pPr>
              <w:keepNext/>
              <w:ind w:left="-39"/>
              <w:rPr>
                <w:rFonts w:ascii="Arial" w:hAnsi="Arial" w:cs="Arial"/>
                <w:sz w:val="18"/>
                <w:szCs w:val="18"/>
              </w:rPr>
            </w:pPr>
            <w:r w:rsidRPr="00B5605A">
              <w:rPr>
                <w:rFonts w:ascii="Arial" w:hAnsi="Arial" w:cs="Arial"/>
                <w:sz w:val="18"/>
                <w:szCs w:val="18"/>
              </w:rPr>
              <w:t>Exportadores</w:t>
            </w:r>
            <w:r w:rsidR="000F33C1">
              <w:rPr>
                <w:rFonts w:ascii="Arial" w:hAnsi="Arial" w:cs="Arial"/>
                <w:sz w:val="18"/>
                <w:szCs w:val="18"/>
              </w:rPr>
              <w:t xml:space="preserve"> definidos no </w:t>
            </w:r>
            <w:r>
              <w:rPr>
                <w:rFonts w:ascii="Arial" w:hAnsi="Arial" w:cs="Arial"/>
                <w:sz w:val="18"/>
                <w:szCs w:val="18"/>
              </w:rPr>
              <w:t>item 2.1.1.2</w:t>
            </w:r>
          </w:p>
        </w:tc>
        <w:tc>
          <w:tcPr>
            <w:tcW w:w="2127" w:type="dxa"/>
            <w:vAlign w:val="center"/>
          </w:tcPr>
          <w:p w14:paraId="18E7B47E" w14:textId="0FE7A4AB" w:rsidR="00B5605A" w:rsidRPr="00B5605A" w:rsidRDefault="00B5605A" w:rsidP="00D07627">
            <w:pPr>
              <w:keepNext/>
              <w:jc w:val="center"/>
              <w:rPr>
                <w:rFonts w:ascii="Arial" w:hAnsi="Arial" w:cs="Arial"/>
                <w:sz w:val="18"/>
                <w:szCs w:val="18"/>
              </w:rPr>
            </w:pPr>
            <w:r w:rsidRPr="00B5605A">
              <w:rPr>
                <w:rFonts w:ascii="Arial" w:hAnsi="Arial" w:cs="Arial"/>
                <w:sz w:val="18"/>
                <w:szCs w:val="18"/>
              </w:rPr>
              <w:t>Micro, Pequena e Média Empresa</w:t>
            </w:r>
          </w:p>
        </w:tc>
        <w:tc>
          <w:tcPr>
            <w:tcW w:w="1559" w:type="dxa"/>
            <w:vAlign w:val="center"/>
          </w:tcPr>
          <w:p w14:paraId="0C041700" w14:textId="5C653202" w:rsidR="00B5605A" w:rsidRPr="00B5605A" w:rsidRDefault="00B5605A" w:rsidP="00D07627">
            <w:pPr>
              <w:keepNext/>
              <w:jc w:val="center"/>
              <w:rPr>
                <w:rFonts w:ascii="Arial" w:hAnsi="Arial" w:cs="Arial"/>
                <w:sz w:val="18"/>
                <w:szCs w:val="18"/>
              </w:rPr>
            </w:pPr>
            <w:r>
              <w:rPr>
                <w:rFonts w:ascii="Arial" w:hAnsi="Arial" w:cs="Arial"/>
                <w:sz w:val="18"/>
                <w:szCs w:val="18"/>
              </w:rPr>
              <w:t>4%</w:t>
            </w:r>
          </w:p>
        </w:tc>
      </w:tr>
      <w:tr w:rsidR="00B5605A" w:rsidRPr="000C0BCB" w14:paraId="0CC9BAC9" w14:textId="77777777" w:rsidTr="00B5605A">
        <w:trPr>
          <w:trHeight w:val="454"/>
        </w:trPr>
        <w:tc>
          <w:tcPr>
            <w:tcW w:w="2976" w:type="dxa"/>
            <w:vMerge/>
            <w:vAlign w:val="center"/>
          </w:tcPr>
          <w:p w14:paraId="582D56FB" w14:textId="77777777" w:rsidR="00B5605A" w:rsidRPr="00B5605A" w:rsidRDefault="00B5605A" w:rsidP="00D07627">
            <w:pPr>
              <w:keepNext/>
              <w:ind w:left="-39"/>
              <w:rPr>
                <w:rFonts w:ascii="Arial" w:hAnsi="Arial" w:cs="Arial"/>
                <w:sz w:val="18"/>
                <w:szCs w:val="18"/>
              </w:rPr>
            </w:pPr>
          </w:p>
        </w:tc>
        <w:tc>
          <w:tcPr>
            <w:tcW w:w="2127" w:type="dxa"/>
            <w:vAlign w:val="center"/>
          </w:tcPr>
          <w:p w14:paraId="5E6EC6B4" w14:textId="44A4F66F" w:rsidR="00B5605A" w:rsidRPr="00B5605A" w:rsidRDefault="00B5605A" w:rsidP="00D07627">
            <w:pPr>
              <w:keepNext/>
              <w:jc w:val="center"/>
              <w:rPr>
                <w:rFonts w:ascii="Arial" w:hAnsi="Arial" w:cs="Arial"/>
                <w:sz w:val="18"/>
                <w:szCs w:val="18"/>
              </w:rPr>
            </w:pPr>
            <w:r w:rsidRPr="00B5605A">
              <w:rPr>
                <w:rFonts w:ascii="Arial" w:hAnsi="Arial" w:cs="Arial"/>
                <w:sz w:val="18"/>
                <w:szCs w:val="18"/>
              </w:rPr>
              <w:t>Grande Empresa</w:t>
            </w:r>
          </w:p>
        </w:tc>
        <w:tc>
          <w:tcPr>
            <w:tcW w:w="1559" w:type="dxa"/>
            <w:vAlign w:val="center"/>
          </w:tcPr>
          <w:p w14:paraId="5AC9DA54" w14:textId="73614B88" w:rsidR="00B5605A" w:rsidRPr="00B5605A" w:rsidRDefault="00B5605A" w:rsidP="00D07627">
            <w:pPr>
              <w:keepNext/>
              <w:jc w:val="center"/>
              <w:rPr>
                <w:rFonts w:ascii="Arial" w:hAnsi="Arial" w:cs="Arial"/>
                <w:sz w:val="18"/>
                <w:szCs w:val="18"/>
              </w:rPr>
            </w:pPr>
            <w:r>
              <w:rPr>
                <w:rFonts w:ascii="Arial" w:hAnsi="Arial" w:cs="Arial"/>
                <w:sz w:val="18"/>
                <w:szCs w:val="18"/>
              </w:rPr>
              <w:t>6%</w:t>
            </w:r>
          </w:p>
        </w:tc>
      </w:tr>
      <w:tr w:rsidR="00B5605A" w:rsidRPr="000C0BCB" w14:paraId="760AC8E0" w14:textId="77777777" w:rsidTr="00B5605A">
        <w:trPr>
          <w:trHeight w:val="454"/>
        </w:trPr>
        <w:tc>
          <w:tcPr>
            <w:tcW w:w="2976" w:type="dxa"/>
            <w:vMerge w:val="restart"/>
            <w:vAlign w:val="center"/>
          </w:tcPr>
          <w:p w14:paraId="22F6BA49" w14:textId="3CEBE0EA" w:rsidR="00B5605A" w:rsidRPr="00B5605A" w:rsidRDefault="00B5605A" w:rsidP="00D07627">
            <w:pPr>
              <w:keepNext/>
              <w:ind w:left="-39"/>
              <w:rPr>
                <w:rFonts w:ascii="Arial" w:hAnsi="Arial" w:cs="Arial"/>
                <w:sz w:val="18"/>
                <w:szCs w:val="18"/>
              </w:rPr>
            </w:pPr>
            <w:r w:rsidRPr="00B5605A">
              <w:rPr>
                <w:rFonts w:ascii="Arial" w:hAnsi="Arial" w:cs="Arial"/>
                <w:sz w:val="18"/>
                <w:szCs w:val="18"/>
              </w:rPr>
              <w:t>Fornecedores da Cadeia Exportadora</w:t>
            </w:r>
            <w:r>
              <w:rPr>
                <w:rFonts w:ascii="Arial" w:hAnsi="Arial" w:cs="Arial"/>
                <w:sz w:val="18"/>
                <w:szCs w:val="18"/>
              </w:rPr>
              <w:t xml:space="preserve"> (item 2.1.</w:t>
            </w:r>
            <w:r w:rsidR="00F74F06">
              <w:rPr>
                <w:rFonts w:ascii="Arial" w:hAnsi="Arial" w:cs="Arial"/>
                <w:sz w:val="18"/>
                <w:szCs w:val="18"/>
              </w:rPr>
              <w:t>2</w:t>
            </w:r>
            <w:r>
              <w:rPr>
                <w:rFonts w:ascii="Arial" w:hAnsi="Arial" w:cs="Arial"/>
                <w:sz w:val="18"/>
                <w:szCs w:val="18"/>
              </w:rPr>
              <w:t>)</w:t>
            </w:r>
          </w:p>
        </w:tc>
        <w:tc>
          <w:tcPr>
            <w:tcW w:w="2127" w:type="dxa"/>
            <w:vAlign w:val="center"/>
          </w:tcPr>
          <w:p w14:paraId="6E554ABF" w14:textId="078ED0A7" w:rsidR="00B5605A" w:rsidRPr="00B5605A" w:rsidRDefault="00B5605A" w:rsidP="00D07627">
            <w:pPr>
              <w:keepNext/>
              <w:jc w:val="center"/>
              <w:rPr>
                <w:rFonts w:ascii="Arial" w:hAnsi="Arial" w:cs="Arial"/>
                <w:sz w:val="18"/>
                <w:szCs w:val="18"/>
              </w:rPr>
            </w:pPr>
            <w:r w:rsidRPr="00B5605A">
              <w:rPr>
                <w:rFonts w:ascii="Arial" w:hAnsi="Arial" w:cs="Arial"/>
                <w:sz w:val="18"/>
                <w:szCs w:val="18"/>
              </w:rPr>
              <w:t>Micro, Pequena e Média Empresa</w:t>
            </w:r>
          </w:p>
        </w:tc>
        <w:tc>
          <w:tcPr>
            <w:tcW w:w="1559" w:type="dxa"/>
            <w:vAlign w:val="center"/>
          </w:tcPr>
          <w:p w14:paraId="5921857C" w14:textId="4B8FD0DE" w:rsidR="00B5605A" w:rsidRPr="00B5605A" w:rsidRDefault="00B5605A" w:rsidP="00D07627">
            <w:pPr>
              <w:keepNext/>
              <w:jc w:val="center"/>
              <w:rPr>
                <w:rFonts w:ascii="Arial" w:hAnsi="Arial" w:cs="Arial"/>
                <w:sz w:val="18"/>
                <w:szCs w:val="18"/>
              </w:rPr>
            </w:pPr>
            <w:r>
              <w:rPr>
                <w:rFonts w:ascii="Arial" w:hAnsi="Arial" w:cs="Arial"/>
                <w:sz w:val="18"/>
                <w:szCs w:val="18"/>
              </w:rPr>
              <w:t>4%</w:t>
            </w:r>
          </w:p>
        </w:tc>
      </w:tr>
      <w:tr w:rsidR="00B5605A" w:rsidRPr="000C0BCB" w14:paraId="66AE9AFA" w14:textId="77777777" w:rsidTr="00B5605A">
        <w:trPr>
          <w:trHeight w:val="454"/>
        </w:trPr>
        <w:tc>
          <w:tcPr>
            <w:tcW w:w="2976" w:type="dxa"/>
            <w:vMerge/>
            <w:vAlign w:val="center"/>
          </w:tcPr>
          <w:p w14:paraId="00211416" w14:textId="77777777" w:rsidR="00B5605A" w:rsidRPr="00B5605A" w:rsidRDefault="00B5605A" w:rsidP="00B5605A">
            <w:pPr>
              <w:ind w:left="-39"/>
              <w:rPr>
                <w:rFonts w:ascii="Arial" w:hAnsi="Arial" w:cs="Arial"/>
                <w:sz w:val="18"/>
                <w:szCs w:val="18"/>
              </w:rPr>
            </w:pPr>
          </w:p>
        </w:tc>
        <w:tc>
          <w:tcPr>
            <w:tcW w:w="2127" w:type="dxa"/>
            <w:vAlign w:val="center"/>
          </w:tcPr>
          <w:p w14:paraId="100C4B57" w14:textId="0CE73F5C" w:rsidR="00B5605A" w:rsidRPr="00B5605A" w:rsidRDefault="00B5605A" w:rsidP="00B5605A">
            <w:pPr>
              <w:jc w:val="center"/>
              <w:rPr>
                <w:rFonts w:ascii="Arial" w:hAnsi="Arial" w:cs="Arial"/>
                <w:sz w:val="18"/>
                <w:szCs w:val="18"/>
              </w:rPr>
            </w:pPr>
            <w:r w:rsidRPr="00B5605A">
              <w:rPr>
                <w:rFonts w:ascii="Arial" w:hAnsi="Arial" w:cs="Arial"/>
                <w:sz w:val="18"/>
                <w:szCs w:val="18"/>
              </w:rPr>
              <w:t>Grande Empresa</w:t>
            </w:r>
          </w:p>
        </w:tc>
        <w:tc>
          <w:tcPr>
            <w:tcW w:w="1559" w:type="dxa"/>
            <w:vAlign w:val="center"/>
          </w:tcPr>
          <w:p w14:paraId="42B2F6B0" w14:textId="03224AD8" w:rsidR="00B5605A" w:rsidRPr="00B5605A" w:rsidRDefault="00B5605A" w:rsidP="00B5605A">
            <w:pPr>
              <w:jc w:val="center"/>
              <w:rPr>
                <w:rFonts w:ascii="Arial" w:hAnsi="Arial" w:cs="Arial"/>
                <w:sz w:val="18"/>
                <w:szCs w:val="18"/>
              </w:rPr>
            </w:pPr>
            <w:r>
              <w:rPr>
                <w:rFonts w:ascii="Arial" w:hAnsi="Arial" w:cs="Arial"/>
                <w:sz w:val="18"/>
                <w:szCs w:val="18"/>
              </w:rPr>
              <w:t>6%</w:t>
            </w:r>
          </w:p>
        </w:tc>
      </w:tr>
    </w:tbl>
    <w:bookmarkEnd w:id="1"/>
    <w:p w14:paraId="24017EDD" w14:textId="0555E5EB" w:rsidR="00D07627" w:rsidRPr="00144146" w:rsidRDefault="00D07627" w:rsidP="00D07627">
      <w:pPr>
        <w:pStyle w:val="BNDES"/>
        <w:numPr>
          <w:ilvl w:val="0"/>
          <w:numId w:val="23"/>
        </w:numPr>
        <w:tabs>
          <w:tab w:val="left" w:pos="567"/>
        </w:tabs>
        <w:spacing w:before="120" w:after="120"/>
        <w:ind w:left="567" w:hanging="567"/>
        <w:rPr>
          <w:rFonts w:cs="Arial"/>
        </w:rPr>
      </w:pPr>
      <w:r>
        <w:t>Fica alterado o item 7.2.1, nos termos abaixo</w:t>
      </w:r>
      <w:r w:rsidRPr="00144146">
        <w:t>:</w:t>
      </w:r>
    </w:p>
    <w:p w14:paraId="686CAF10" w14:textId="217E06BE" w:rsidR="00D07627" w:rsidRDefault="00D07627" w:rsidP="00D07627">
      <w:pPr>
        <w:pStyle w:val="BNDES"/>
        <w:tabs>
          <w:tab w:val="left" w:pos="1418"/>
        </w:tabs>
        <w:spacing w:before="120" w:after="120"/>
        <w:ind w:left="1701" w:hanging="1134"/>
        <w:rPr>
          <w:bCs/>
        </w:rPr>
      </w:pPr>
      <w:r w:rsidRPr="00AD5A13">
        <w:t>“</w:t>
      </w:r>
      <w:r>
        <w:rPr>
          <w:b/>
          <w:bCs/>
        </w:rPr>
        <w:t>7.2.1</w:t>
      </w:r>
      <w:r w:rsidRPr="005D401F">
        <w:rPr>
          <w:b/>
          <w:bCs/>
        </w:rPr>
        <w:t>.</w:t>
      </w:r>
      <w:r>
        <w:rPr>
          <w:b/>
          <w:bCs/>
        </w:rPr>
        <w:tab/>
      </w:r>
      <w:r>
        <w:rPr>
          <w:rFonts w:cs="Arial"/>
          <w:iCs/>
        </w:rPr>
        <w:t>Modalidade Giro Emergencial</w:t>
      </w:r>
      <w:r>
        <w:rPr>
          <w:bCs/>
        </w:rPr>
        <w:t>:</w:t>
      </w:r>
    </w:p>
    <w:p w14:paraId="55FE14DC" w14:textId="04A5C476" w:rsidR="00DE39D2" w:rsidRDefault="00DE39D2" w:rsidP="00E53EA1">
      <w:pPr>
        <w:pStyle w:val="BNDES"/>
        <w:numPr>
          <w:ilvl w:val="6"/>
          <w:numId w:val="1"/>
        </w:numPr>
        <w:tabs>
          <w:tab w:val="clear" w:pos="2520"/>
        </w:tabs>
        <w:spacing w:before="120" w:after="120"/>
        <w:ind w:left="1985" w:hanging="425"/>
        <w:rPr>
          <w:rFonts w:cs="Arial"/>
          <w:iCs/>
        </w:rPr>
      </w:pPr>
      <w:r>
        <w:rPr>
          <w:rFonts w:cs="Arial"/>
          <w:iCs/>
        </w:rPr>
        <w:t>“</w:t>
      </w:r>
      <w:r w:rsidRPr="00554490">
        <w:rPr>
          <w:rStyle w:val="ui-provider"/>
        </w:rPr>
        <w:t xml:space="preserve">brasil soberano aut giro emergencial mpme", no caso de operações </w:t>
      </w:r>
      <w:r>
        <w:rPr>
          <w:rStyle w:val="ui-provider"/>
        </w:rPr>
        <w:t xml:space="preserve">com </w:t>
      </w:r>
      <w:r w:rsidRPr="00B53996">
        <w:rPr>
          <w:rFonts w:cs="Arial"/>
          <w:szCs w:val="24"/>
        </w:rPr>
        <w:t>Micro, Pequenas e Médias Empresas</w:t>
      </w:r>
      <w:r w:rsidR="00586E7E">
        <w:rPr>
          <w:rFonts w:cs="Arial"/>
          <w:szCs w:val="24"/>
        </w:rPr>
        <w:t xml:space="preserve"> enquadradas no item 2.1.1.1</w:t>
      </w:r>
      <w:r>
        <w:rPr>
          <w:rFonts w:cs="Arial"/>
          <w:iCs/>
        </w:rPr>
        <w:t>;</w:t>
      </w:r>
    </w:p>
    <w:p w14:paraId="58989409" w14:textId="675854A1" w:rsidR="00DE39D2" w:rsidRDefault="00DE39D2" w:rsidP="00DE39D2">
      <w:pPr>
        <w:pStyle w:val="BNDES"/>
        <w:numPr>
          <w:ilvl w:val="6"/>
          <w:numId w:val="1"/>
        </w:numPr>
        <w:tabs>
          <w:tab w:val="clear" w:pos="2520"/>
        </w:tabs>
        <w:spacing w:before="120" w:after="120"/>
        <w:ind w:left="1985" w:hanging="425"/>
        <w:rPr>
          <w:rFonts w:cs="Arial"/>
          <w:iCs/>
        </w:rPr>
      </w:pPr>
      <w:r>
        <w:rPr>
          <w:rFonts w:cs="Arial"/>
          <w:iCs/>
        </w:rPr>
        <w:t>“</w:t>
      </w:r>
      <w:r w:rsidRPr="009008E0">
        <w:rPr>
          <w:rFonts w:cs="Arial"/>
          <w:iCs/>
        </w:rPr>
        <w:t xml:space="preserve">brasil soberano aut giro emergencial grande", no caso de operações </w:t>
      </w:r>
      <w:r>
        <w:rPr>
          <w:rFonts w:cs="Arial"/>
          <w:iCs/>
        </w:rPr>
        <w:t>com Grandes Empresas</w:t>
      </w:r>
      <w:r w:rsidR="00586E7E">
        <w:rPr>
          <w:rFonts w:cs="Arial"/>
          <w:iCs/>
        </w:rPr>
        <w:t xml:space="preserve"> </w:t>
      </w:r>
      <w:r w:rsidR="00586E7E">
        <w:rPr>
          <w:rFonts w:cs="Arial"/>
          <w:szCs w:val="24"/>
        </w:rPr>
        <w:t>enquadradas no item 2.1.1.1</w:t>
      </w:r>
      <w:r>
        <w:rPr>
          <w:rFonts w:cs="Arial"/>
          <w:iCs/>
        </w:rPr>
        <w:t>;</w:t>
      </w:r>
    </w:p>
    <w:p w14:paraId="10EA106E" w14:textId="72A26F96" w:rsidR="00DE39D2" w:rsidRDefault="00DE39D2" w:rsidP="00DE39D2">
      <w:pPr>
        <w:pStyle w:val="BNDES"/>
        <w:numPr>
          <w:ilvl w:val="6"/>
          <w:numId w:val="1"/>
        </w:numPr>
        <w:tabs>
          <w:tab w:val="clear" w:pos="2520"/>
        </w:tabs>
        <w:spacing w:before="120" w:after="120"/>
        <w:ind w:left="1985" w:hanging="425"/>
        <w:rPr>
          <w:rFonts w:cs="Arial"/>
          <w:iCs/>
        </w:rPr>
      </w:pPr>
      <w:r>
        <w:rPr>
          <w:rFonts w:cs="Arial"/>
          <w:iCs/>
        </w:rPr>
        <w:t>“</w:t>
      </w:r>
      <w:r w:rsidRPr="00DE39D2">
        <w:rPr>
          <w:rFonts w:cs="Arial"/>
          <w:iCs/>
        </w:rPr>
        <w:t>brasil soberano aut giro emergencial mpme fx 2</w:t>
      </w:r>
      <w:r>
        <w:rPr>
          <w:rFonts w:cs="Arial"/>
          <w:iCs/>
        </w:rPr>
        <w:t>”</w:t>
      </w:r>
      <w:r w:rsidR="00586E7E">
        <w:rPr>
          <w:rFonts w:cs="Arial"/>
          <w:iCs/>
        </w:rPr>
        <w:t xml:space="preserve">, </w:t>
      </w:r>
      <w:r w:rsidR="00586E7E" w:rsidRPr="00554490">
        <w:rPr>
          <w:rStyle w:val="ui-provider"/>
        </w:rPr>
        <w:t xml:space="preserve">no caso de operações </w:t>
      </w:r>
      <w:r w:rsidR="00586E7E">
        <w:rPr>
          <w:rStyle w:val="ui-provider"/>
        </w:rPr>
        <w:t xml:space="preserve">com </w:t>
      </w:r>
      <w:r w:rsidR="00586E7E" w:rsidRPr="00B53996">
        <w:rPr>
          <w:rFonts w:cs="Arial"/>
          <w:szCs w:val="24"/>
        </w:rPr>
        <w:t>Micro, Pequenas e Médias Empresas</w:t>
      </w:r>
      <w:r w:rsidR="00586E7E">
        <w:rPr>
          <w:rFonts w:cs="Arial"/>
          <w:szCs w:val="24"/>
        </w:rPr>
        <w:t xml:space="preserve"> enquadradas nos itens 2.1.1.2 e 2.1.2.2;</w:t>
      </w:r>
    </w:p>
    <w:p w14:paraId="639AA164" w14:textId="7AB9CACA" w:rsidR="00586E7E" w:rsidRDefault="00586E7E" w:rsidP="00E53EA1">
      <w:pPr>
        <w:pStyle w:val="BNDES"/>
        <w:numPr>
          <w:ilvl w:val="6"/>
          <w:numId w:val="1"/>
        </w:numPr>
        <w:tabs>
          <w:tab w:val="clear" w:pos="2520"/>
        </w:tabs>
        <w:spacing w:before="120" w:after="120"/>
        <w:ind w:left="1985" w:hanging="425"/>
        <w:rPr>
          <w:rFonts w:cs="Arial"/>
          <w:iCs/>
        </w:rPr>
      </w:pPr>
      <w:r>
        <w:rPr>
          <w:rFonts w:cs="Arial"/>
          <w:iCs/>
        </w:rPr>
        <w:t>“</w:t>
      </w:r>
      <w:r w:rsidRPr="00586E7E">
        <w:rPr>
          <w:rFonts w:cs="Arial"/>
          <w:iCs/>
        </w:rPr>
        <w:t>brasil soberano aut giro emergencial grande fx 2</w:t>
      </w:r>
      <w:r>
        <w:rPr>
          <w:rFonts w:cs="Arial"/>
          <w:iCs/>
        </w:rPr>
        <w:t>”,</w:t>
      </w:r>
      <w:r w:rsidRPr="00586E7E">
        <w:rPr>
          <w:rFonts w:cs="Arial"/>
          <w:iCs/>
        </w:rPr>
        <w:t xml:space="preserve"> </w:t>
      </w:r>
      <w:r w:rsidRPr="009008E0">
        <w:rPr>
          <w:rFonts w:cs="Arial"/>
          <w:iCs/>
        </w:rPr>
        <w:t xml:space="preserve">no caso de operações </w:t>
      </w:r>
      <w:r>
        <w:rPr>
          <w:rFonts w:cs="Arial"/>
          <w:iCs/>
        </w:rPr>
        <w:t xml:space="preserve">com Grandes Empresas </w:t>
      </w:r>
      <w:r>
        <w:rPr>
          <w:rFonts w:cs="Arial"/>
          <w:szCs w:val="24"/>
        </w:rPr>
        <w:t xml:space="preserve">enquadradas </w:t>
      </w:r>
      <w:r w:rsidRPr="00586E7E">
        <w:rPr>
          <w:rFonts w:cs="Arial"/>
          <w:szCs w:val="24"/>
        </w:rPr>
        <w:t>nos itens 2.1.1.2 e 2.1.2.2</w:t>
      </w:r>
      <w:r>
        <w:rPr>
          <w:rFonts w:cs="Arial"/>
          <w:szCs w:val="24"/>
        </w:rPr>
        <w:t>.</w:t>
      </w:r>
    </w:p>
    <w:p w14:paraId="33070C39" w14:textId="78CE4F77" w:rsidR="00D07627" w:rsidRPr="00144146" w:rsidRDefault="00D07627" w:rsidP="00D07627">
      <w:pPr>
        <w:pStyle w:val="BNDES"/>
        <w:numPr>
          <w:ilvl w:val="0"/>
          <w:numId w:val="23"/>
        </w:numPr>
        <w:tabs>
          <w:tab w:val="left" w:pos="567"/>
        </w:tabs>
        <w:spacing w:before="120" w:after="120"/>
        <w:ind w:left="567" w:hanging="567"/>
        <w:rPr>
          <w:rFonts w:cs="Arial"/>
        </w:rPr>
      </w:pPr>
      <w:r>
        <w:t>Fica alterado o item 8.3.4.2, nos termos abaixo</w:t>
      </w:r>
      <w:r w:rsidRPr="00144146">
        <w:t>:</w:t>
      </w:r>
    </w:p>
    <w:p w14:paraId="52CB1E94" w14:textId="639AA692" w:rsidR="00D07627" w:rsidRDefault="00D07627" w:rsidP="00D07627">
      <w:pPr>
        <w:pStyle w:val="BNDES"/>
        <w:tabs>
          <w:tab w:val="left" w:pos="1701"/>
        </w:tabs>
        <w:spacing w:before="120" w:after="120"/>
        <w:ind w:left="1701" w:hanging="1134"/>
        <w:rPr>
          <w:rFonts w:cs="Arial"/>
          <w:szCs w:val="24"/>
        </w:rPr>
      </w:pPr>
      <w:r w:rsidRPr="00AD5A13">
        <w:t>“</w:t>
      </w:r>
      <w:r>
        <w:rPr>
          <w:b/>
          <w:bCs/>
        </w:rPr>
        <w:t>8.3.4.2</w:t>
      </w:r>
      <w:r w:rsidRPr="005D401F">
        <w:rPr>
          <w:b/>
          <w:bCs/>
        </w:rPr>
        <w:t>.</w:t>
      </w:r>
      <w:r>
        <w:rPr>
          <w:b/>
          <w:bCs/>
        </w:rPr>
        <w:tab/>
      </w:r>
      <w:r>
        <w:t xml:space="preserve">Deverá ser </w:t>
      </w:r>
      <w:r w:rsidRPr="000364B3">
        <w:rPr>
          <w:rFonts w:cs="Arial"/>
          <w:szCs w:val="24"/>
        </w:rPr>
        <w:t>inserida no instrumento contratual que formalizar a operação</w:t>
      </w:r>
      <w:r>
        <w:rPr>
          <w:rFonts w:cs="Arial"/>
          <w:szCs w:val="24"/>
        </w:rPr>
        <w:t xml:space="preserve"> </w:t>
      </w:r>
      <w:r>
        <w:t xml:space="preserve">cláusula </w:t>
      </w:r>
      <w:r>
        <w:rPr>
          <w:rFonts w:cs="Arial"/>
          <w:szCs w:val="24"/>
        </w:rPr>
        <w:t xml:space="preserve">atestando a ciência do Cliente Final de que o </w:t>
      </w:r>
      <w:r w:rsidRPr="00AA5386">
        <w:rPr>
          <w:rFonts w:cs="Arial"/>
          <w:szCs w:val="24"/>
        </w:rPr>
        <w:t>compromisso de manutenção ou ampliação do número de empregos</w:t>
      </w:r>
      <w:r>
        <w:rPr>
          <w:rFonts w:cs="Arial"/>
          <w:szCs w:val="24"/>
        </w:rPr>
        <w:t xml:space="preserve"> </w:t>
      </w:r>
      <w:r w:rsidRPr="00AA5386">
        <w:rPr>
          <w:rFonts w:cs="Arial"/>
          <w:bCs/>
          <w:color w:val="000000"/>
        </w:rPr>
        <w:t xml:space="preserve">será apurado pelo Banco Nacional de Desenvolvimento Econômico e Social </w:t>
      </w:r>
      <w:r>
        <w:rPr>
          <w:rFonts w:cs="Arial"/>
          <w:bCs/>
          <w:color w:val="000000"/>
        </w:rPr>
        <w:t>–</w:t>
      </w:r>
      <w:r w:rsidRPr="00AA5386">
        <w:rPr>
          <w:rFonts w:cs="Arial"/>
          <w:bCs/>
          <w:color w:val="000000"/>
        </w:rPr>
        <w:t xml:space="preserve"> BNDES com base nas informações relativas ao número de empregos disponibilizadas pelo Ministério do Trabalho e Emprego, por meio de dados do Sistema de Escrituração Digital das Obrigações Fiscais, Previdenciárias e Trabalhistas - eSocial, conforme a legislação vigente e </w:t>
      </w:r>
      <w:r w:rsidRPr="00BB7087">
        <w:rPr>
          <w:rFonts w:cs="Arial"/>
          <w:szCs w:val="24"/>
        </w:rPr>
        <w:t xml:space="preserve">a </w:t>
      </w:r>
      <w:r w:rsidRPr="00924425">
        <w:t xml:space="preserve">Portaria MTE nº </w:t>
      </w:r>
      <w:r w:rsidRPr="004A3894">
        <w:rPr>
          <w:rFonts w:cs="Arial"/>
          <w:szCs w:val="24"/>
        </w:rPr>
        <w:t>1608, de 18</w:t>
      </w:r>
      <w:r>
        <w:rPr>
          <w:rFonts w:cs="Arial"/>
          <w:szCs w:val="24"/>
        </w:rPr>
        <w:t xml:space="preserve"> de setembro de </w:t>
      </w:r>
      <w:r w:rsidRPr="004A3894">
        <w:rPr>
          <w:rFonts w:cs="Arial"/>
          <w:szCs w:val="24"/>
        </w:rPr>
        <w:t>2025</w:t>
      </w:r>
      <w:r>
        <w:rPr>
          <w:rFonts w:cs="Arial"/>
          <w:szCs w:val="24"/>
        </w:rPr>
        <w:t>, e eventuais alterações posteriores,</w:t>
      </w:r>
      <w:r w:rsidRPr="00BB7087">
        <w:rPr>
          <w:rFonts w:cs="Arial"/>
          <w:szCs w:val="24"/>
        </w:rPr>
        <w:t xml:space="preserve"> que disciplina os critérios e procedimentos para mensuração do compromisso de manutenção ou ampliação do número de empregos</w:t>
      </w:r>
      <w:r>
        <w:rPr>
          <w:bCs/>
        </w:rPr>
        <w:t>.</w:t>
      </w:r>
      <w:r>
        <w:rPr>
          <w:rFonts w:cs="Arial"/>
          <w:szCs w:val="24"/>
        </w:rPr>
        <w:t>”</w:t>
      </w:r>
    </w:p>
    <w:p w14:paraId="5CB236D4" w14:textId="388FD0CE" w:rsidR="00A54389" w:rsidRPr="00144146" w:rsidRDefault="00A54389" w:rsidP="00A54389">
      <w:pPr>
        <w:pStyle w:val="BNDES"/>
        <w:numPr>
          <w:ilvl w:val="0"/>
          <w:numId w:val="23"/>
        </w:numPr>
        <w:tabs>
          <w:tab w:val="left" w:pos="567"/>
        </w:tabs>
        <w:spacing w:before="120" w:after="120"/>
        <w:ind w:left="567" w:hanging="567"/>
        <w:rPr>
          <w:rFonts w:cs="Arial"/>
        </w:rPr>
      </w:pPr>
      <w:r>
        <w:t>Fica alterado o item 8.6, nos termos abaixo</w:t>
      </w:r>
      <w:r w:rsidRPr="00144146">
        <w:t>:</w:t>
      </w:r>
    </w:p>
    <w:p w14:paraId="3BEE470C" w14:textId="0B0F3CAE" w:rsidR="00A54389" w:rsidRDefault="00A54389" w:rsidP="00E53EA1">
      <w:pPr>
        <w:pStyle w:val="BNDES"/>
        <w:tabs>
          <w:tab w:val="left" w:pos="1276"/>
        </w:tabs>
        <w:spacing w:before="120" w:after="120"/>
        <w:ind w:left="1276" w:hanging="709"/>
        <w:rPr>
          <w:rFonts w:cs="Arial"/>
          <w:szCs w:val="24"/>
        </w:rPr>
      </w:pPr>
      <w:r w:rsidRPr="00AD5A13">
        <w:lastRenderedPageBreak/>
        <w:t>“</w:t>
      </w:r>
      <w:r>
        <w:rPr>
          <w:b/>
          <w:bCs/>
        </w:rPr>
        <w:t>8.6</w:t>
      </w:r>
      <w:r w:rsidRPr="005D401F">
        <w:rPr>
          <w:b/>
          <w:bCs/>
        </w:rPr>
        <w:t>.</w:t>
      </w:r>
      <w:r>
        <w:rPr>
          <w:b/>
          <w:bCs/>
        </w:rPr>
        <w:tab/>
      </w:r>
      <w:r w:rsidRPr="00A54389">
        <w:t xml:space="preserve">Nos casos em que o enquadramento de elegibilidade ou priorização </w:t>
      </w:r>
      <w:r>
        <w:t xml:space="preserve">do </w:t>
      </w:r>
      <w:r w:rsidRPr="006F2695">
        <w:t>exportador se baseie em exportações de produtos classificados na Seção 2 da tabela de produtos</w:t>
      </w:r>
      <w:r w:rsidRPr="00A54389">
        <w:t xml:space="preserve"> publicada pelo MDIC, nos termos da Portaria Conjunta MDIC/MF nº 4/2025, de 11 de setembro de 2025, o Cliente Final deverá apresentar autodeclaração, conforme modelo oficial constante do Anexo da referida Portaria, o qual deverá ser observado na íntegra, atestando que os produtos exportados no período de referência não se enquadram nas exclusões da Ordem Executiva de 30 de julho de 2025, do Governo dos Estados Unidos da América</w:t>
      </w:r>
      <w:r>
        <w:rPr>
          <w:bCs/>
        </w:rPr>
        <w:t>.</w:t>
      </w:r>
      <w:r>
        <w:rPr>
          <w:rFonts w:cs="Arial"/>
          <w:szCs w:val="24"/>
        </w:rPr>
        <w:t>”</w:t>
      </w:r>
    </w:p>
    <w:p w14:paraId="6E44A242" w14:textId="56911C15" w:rsidR="00A54389" w:rsidRPr="00144146" w:rsidRDefault="00A54389" w:rsidP="00A54389">
      <w:pPr>
        <w:pStyle w:val="BNDES"/>
        <w:numPr>
          <w:ilvl w:val="0"/>
          <w:numId w:val="23"/>
        </w:numPr>
        <w:tabs>
          <w:tab w:val="left" w:pos="567"/>
        </w:tabs>
        <w:spacing w:before="120" w:after="120"/>
        <w:ind w:left="567" w:hanging="567"/>
        <w:rPr>
          <w:rFonts w:cs="Arial"/>
        </w:rPr>
      </w:pPr>
      <w:r>
        <w:t>Fica alterado o item 12.4, nos termos abaixo</w:t>
      </w:r>
      <w:r w:rsidRPr="00144146">
        <w:t>:</w:t>
      </w:r>
    </w:p>
    <w:p w14:paraId="687B46F5" w14:textId="01101ABF" w:rsidR="00A54389" w:rsidRDefault="00A54389" w:rsidP="00E53EA1">
      <w:pPr>
        <w:pStyle w:val="BNDES"/>
        <w:tabs>
          <w:tab w:val="left" w:pos="1418"/>
        </w:tabs>
        <w:spacing w:before="120" w:after="120"/>
        <w:ind w:left="1418" w:hanging="851"/>
        <w:rPr>
          <w:rFonts w:cs="Arial"/>
          <w:szCs w:val="24"/>
        </w:rPr>
      </w:pPr>
      <w:r w:rsidRPr="00AD5A13">
        <w:t>“</w:t>
      </w:r>
      <w:r>
        <w:rPr>
          <w:b/>
          <w:bCs/>
        </w:rPr>
        <w:t>12.4.</w:t>
      </w:r>
      <w:r>
        <w:rPr>
          <w:b/>
          <w:bCs/>
        </w:rPr>
        <w:tab/>
      </w:r>
      <w:r w:rsidRPr="00A54389">
        <w:t xml:space="preserve">A contratação das operações junto aos Clientes Finais </w:t>
      </w:r>
      <w:r>
        <w:t>deverá observar</w:t>
      </w:r>
      <w:r w:rsidRPr="00A54389">
        <w:t xml:space="preserve"> o prazo final de até </w:t>
      </w:r>
      <w:r w:rsidRPr="00B30F21">
        <w:rPr>
          <w:b/>
          <w:bCs/>
        </w:rPr>
        <w:t>10.12.2025</w:t>
      </w:r>
      <w:r>
        <w:t>.”</w:t>
      </w:r>
    </w:p>
    <w:p w14:paraId="5AA1E66F" w14:textId="08FB6654" w:rsidR="00FB4A53" w:rsidRDefault="00800164" w:rsidP="00C77A30">
      <w:pPr>
        <w:pStyle w:val="BNDES"/>
        <w:tabs>
          <w:tab w:val="left" w:pos="2268"/>
        </w:tabs>
        <w:spacing w:before="120" w:after="120"/>
        <w:rPr>
          <w:rFonts w:cs="Arial"/>
        </w:rPr>
      </w:pPr>
      <w:r>
        <w:rPr>
          <w:rFonts w:cs="Arial"/>
          <w:bCs/>
          <w:color w:val="000000"/>
        </w:rPr>
        <w:t xml:space="preserve">Ficam </w:t>
      </w:r>
      <w:r w:rsidRPr="00003242">
        <w:rPr>
          <w:rFonts w:cs="Arial"/>
          <w:bCs/>
          <w:color w:val="000000"/>
        </w:rPr>
        <w:t xml:space="preserve">mantidos os demais critérios, condições e procedimentos operacionais </w:t>
      </w:r>
      <w:r>
        <w:rPr>
          <w:rFonts w:cs="Arial"/>
          <w:bCs/>
          <w:color w:val="000000"/>
        </w:rPr>
        <w:t xml:space="preserve">fixados na </w:t>
      </w:r>
      <w:r w:rsidRPr="00BB1E64">
        <w:rPr>
          <w:rFonts w:cs="Arial"/>
        </w:rPr>
        <w:t>Circular SUP/</w:t>
      </w:r>
      <w:r>
        <w:rPr>
          <w:rFonts w:cs="Arial"/>
        </w:rPr>
        <w:t>ADIG n</w:t>
      </w:r>
      <w:r w:rsidRPr="005C1357">
        <w:rPr>
          <w:rFonts w:cs="Arial"/>
        </w:rPr>
        <w:t>º</w:t>
      </w:r>
      <w:r>
        <w:rPr>
          <w:rFonts w:cs="Arial"/>
        </w:rPr>
        <w:t xml:space="preserve"> </w:t>
      </w:r>
      <w:r w:rsidR="007925D1">
        <w:rPr>
          <w:rFonts w:cs="Arial"/>
        </w:rPr>
        <w:t>85</w:t>
      </w:r>
      <w:r>
        <w:rPr>
          <w:rFonts w:cs="Arial"/>
        </w:rPr>
        <w:t>/</w:t>
      </w:r>
      <w:r w:rsidR="00081687">
        <w:rPr>
          <w:rFonts w:cs="Arial"/>
        </w:rPr>
        <w:t>2025</w:t>
      </w:r>
      <w:r>
        <w:rPr>
          <w:rFonts w:cs="Arial"/>
        </w:rPr>
        <w:t>-BNDES</w:t>
      </w:r>
      <w:r w:rsidR="004F1ADF">
        <w:rPr>
          <w:rFonts w:cs="Arial"/>
        </w:rPr>
        <w:t>,</w:t>
      </w:r>
      <w:r>
        <w:rPr>
          <w:rFonts w:cs="Arial"/>
        </w:rPr>
        <w:t xml:space="preserve"> de </w:t>
      </w:r>
      <w:r w:rsidR="007925D1">
        <w:rPr>
          <w:rFonts w:cs="Arial"/>
        </w:rPr>
        <w:t>27</w:t>
      </w:r>
      <w:r>
        <w:rPr>
          <w:rFonts w:cs="Arial"/>
        </w:rPr>
        <w:t>.</w:t>
      </w:r>
      <w:r w:rsidR="007925D1">
        <w:rPr>
          <w:rFonts w:cs="Arial"/>
        </w:rPr>
        <w:t>08</w:t>
      </w:r>
      <w:r>
        <w:rPr>
          <w:rFonts w:cs="Arial"/>
        </w:rPr>
        <w:t>.202</w:t>
      </w:r>
      <w:r w:rsidR="00081687">
        <w:rPr>
          <w:rFonts w:cs="Arial"/>
        </w:rPr>
        <w:t>5</w:t>
      </w:r>
      <w:r w:rsidR="004F1ADF">
        <w:rPr>
          <w:rFonts w:cs="Arial"/>
        </w:rPr>
        <w:t>,</w:t>
      </w:r>
      <w:r>
        <w:rPr>
          <w:rFonts w:cs="Arial"/>
          <w:bCs/>
          <w:color w:val="000000"/>
        </w:rPr>
        <w:t xml:space="preserve"> a qual</w:t>
      </w:r>
      <w:r w:rsidRPr="00003242">
        <w:rPr>
          <w:rFonts w:cs="Arial"/>
          <w:bCs/>
          <w:color w:val="000000"/>
        </w:rPr>
        <w:t xml:space="preserve"> </w:t>
      </w:r>
      <w:r>
        <w:rPr>
          <w:rFonts w:cs="Arial"/>
          <w:bCs/>
          <w:color w:val="000000"/>
        </w:rPr>
        <w:t>estará</w:t>
      </w:r>
      <w:r w:rsidRPr="00003242">
        <w:rPr>
          <w:rFonts w:cs="Arial"/>
          <w:bCs/>
          <w:color w:val="000000"/>
        </w:rPr>
        <w:t xml:space="preserve"> disponíve</w:t>
      </w:r>
      <w:r>
        <w:rPr>
          <w:rFonts w:cs="Arial"/>
          <w:bCs/>
          <w:color w:val="000000"/>
        </w:rPr>
        <w:t>l</w:t>
      </w:r>
      <w:r w:rsidRPr="00003242">
        <w:rPr>
          <w:rFonts w:cs="Arial"/>
          <w:bCs/>
          <w:color w:val="000000"/>
        </w:rPr>
        <w:t>, na íntegra, devidamente atualizad</w:t>
      </w:r>
      <w:r>
        <w:rPr>
          <w:rFonts w:cs="Arial"/>
          <w:bCs/>
          <w:color w:val="000000"/>
        </w:rPr>
        <w:t>a</w:t>
      </w:r>
      <w:r w:rsidRPr="00003242">
        <w:rPr>
          <w:rFonts w:cs="Arial"/>
          <w:bCs/>
          <w:color w:val="000000"/>
        </w:rPr>
        <w:t>, no</w:t>
      </w:r>
      <w:r>
        <w:rPr>
          <w:rFonts w:cs="Arial"/>
          <w:bCs/>
          <w:color w:val="000000"/>
        </w:rPr>
        <w:t xml:space="preserve"> </w:t>
      </w:r>
      <w:r w:rsidRPr="00003242">
        <w:rPr>
          <w:rFonts w:cs="Arial"/>
          <w:bCs/>
          <w:color w:val="000000"/>
        </w:rPr>
        <w:t>endereço eletrônico do BNDES</w:t>
      </w:r>
      <w:r>
        <w:rPr>
          <w:rFonts w:cs="Arial"/>
          <w:bCs/>
          <w:color w:val="000000"/>
        </w:rPr>
        <w:t xml:space="preserve"> na </w:t>
      </w:r>
      <w:r w:rsidRPr="003847C3">
        <w:rPr>
          <w:rFonts w:cs="Arial"/>
          <w:bCs/>
          <w:i/>
          <w:color w:val="000000"/>
        </w:rPr>
        <w:t>internet</w:t>
      </w:r>
      <w:r w:rsidRPr="00A61438">
        <w:rPr>
          <w:rFonts w:cs="Arial"/>
          <w:bCs/>
          <w:color w:val="000000"/>
        </w:rPr>
        <w:t>:</w:t>
      </w:r>
      <w:r>
        <w:rPr>
          <w:rFonts w:cs="Arial"/>
          <w:b/>
          <w:bCs/>
          <w:color w:val="000000"/>
        </w:rPr>
        <w:t xml:space="preserve"> </w:t>
      </w:r>
      <w:r w:rsidR="00FB4A53" w:rsidRPr="00FB4A53">
        <w:rPr>
          <w:rFonts w:cs="Arial"/>
          <w:b/>
          <w:bCs/>
          <w:color w:val="000000"/>
        </w:rPr>
        <w:t>http</w:t>
      </w:r>
      <w:r w:rsidR="00AD5A13">
        <w:rPr>
          <w:rFonts w:cs="Arial"/>
          <w:b/>
          <w:bCs/>
          <w:color w:val="000000"/>
        </w:rPr>
        <w:t>s</w:t>
      </w:r>
      <w:r w:rsidR="00FB4A53" w:rsidRPr="00FB4A53">
        <w:rPr>
          <w:rFonts w:cs="Arial"/>
          <w:b/>
          <w:bCs/>
          <w:color w:val="000000"/>
        </w:rPr>
        <w:t>://www.bndes.gov.br</w:t>
      </w:r>
      <w:r>
        <w:rPr>
          <w:rFonts w:cs="Arial"/>
        </w:rPr>
        <w:t>.</w:t>
      </w:r>
    </w:p>
    <w:p w14:paraId="3D2FD493" w14:textId="498B28A4" w:rsidR="00A925DE" w:rsidRPr="00CA7478" w:rsidRDefault="008C19BC" w:rsidP="00C77A30">
      <w:pPr>
        <w:pStyle w:val="BNDES"/>
        <w:keepNext/>
        <w:spacing w:before="120" w:after="120"/>
        <w:rPr>
          <w:i/>
          <w:iCs/>
          <w:sz w:val="20"/>
        </w:rPr>
      </w:pPr>
      <w:r>
        <w:t xml:space="preserve">Esta Circular entra em </w:t>
      </w:r>
      <w:r w:rsidR="004D129B">
        <w:t xml:space="preserve">vigor </w:t>
      </w:r>
      <w:r w:rsidR="00D463E0">
        <w:t xml:space="preserve">em </w:t>
      </w:r>
      <w:r w:rsidR="00CA7478" w:rsidRPr="00CA7478">
        <w:rPr>
          <w:b/>
          <w:bCs/>
        </w:rPr>
        <w:t>25.11.2025</w:t>
      </w:r>
      <w:r w:rsidR="00CA7478">
        <w:t xml:space="preserve"> </w:t>
      </w:r>
      <w:r w:rsidR="00A40C0F" w:rsidRPr="00CA7478">
        <w:rPr>
          <w:b/>
          <w:strike/>
        </w:rPr>
        <w:t>data a ser divulgada oportunamente</w:t>
      </w:r>
      <w:r w:rsidR="00A54389" w:rsidRPr="00A40C0F">
        <w:t>,</w:t>
      </w:r>
      <w:r w:rsidR="00A54389">
        <w:rPr>
          <w:b/>
          <w:bCs/>
        </w:rPr>
        <w:t xml:space="preserve"> </w:t>
      </w:r>
      <w:r w:rsidR="00A54389">
        <w:t xml:space="preserve">sendo que a alteração </w:t>
      </w:r>
      <w:r w:rsidR="00E53EA1">
        <w:t>de que trata o</w:t>
      </w:r>
      <w:r w:rsidR="00A54389">
        <w:t xml:space="preserve"> item 9 se aplica inclusive a pedidos de financiamento já protocolados no BNDES</w:t>
      </w:r>
      <w:r w:rsidR="004D129B" w:rsidRPr="00AD5A13">
        <w:t>.</w:t>
      </w:r>
      <w:r w:rsidR="00CA7478">
        <w:rPr>
          <w:sz w:val="20"/>
        </w:rPr>
        <w:t xml:space="preserve"> </w:t>
      </w:r>
      <w:r w:rsidR="00CA7478" w:rsidRPr="00CA7478">
        <w:rPr>
          <w:b/>
          <w:bCs/>
          <w:i/>
          <w:iCs/>
          <w:color w:val="002060"/>
          <w:sz w:val="20"/>
        </w:rPr>
        <w:t>(Alterado pela Circular SUP/ADIG nº 127/2025, de 21.11.2025)</w:t>
      </w:r>
    </w:p>
    <w:p w14:paraId="711272BD" w14:textId="77777777" w:rsidR="00EE3716" w:rsidRDefault="00EE3716" w:rsidP="003B0C84">
      <w:pPr>
        <w:keepNext/>
        <w:jc w:val="center"/>
        <w:rPr>
          <w:rFonts w:ascii="Arial" w:hAnsi="Arial"/>
          <w:sz w:val="24"/>
        </w:rPr>
      </w:pPr>
    </w:p>
    <w:p w14:paraId="3C183441" w14:textId="77777777" w:rsidR="00D31A5A" w:rsidRDefault="00D31A5A" w:rsidP="003B0C84">
      <w:pPr>
        <w:keepNext/>
        <w:jc w:val="center"/>
        <w:rPr>
          <w:rFonts w:ascii="Arial" w:hAnsi="Arial"/>
          <w:sz w:val="24"/>
        </w:rPr>
      </w:pPr>
    </w:p>
    <w:p w14:paraId="6EFAD701" w14:textId="77777777" w:rsidR="008C19BC" w:rsidRPr="00642B07" w:rsidRDefault="008C19BC" w:rsidP="003B0C84">
      <w:pPr>
        <w:keepNext/>
        <w:jc w:val="center"/>
        <w:rPr>
          <w:rFonts w:ascii="Arial" w:hAnsi="Arial"/>
          <w:sz w:val="24"/>
        </w:rPr>
      </w:pPr>
    </w:p>
    <w:p w14:paraId="281725C5" w14:textId="3ED6018B" w:rsidR="008150C4" w:rsidRPr="008150C4" w:rsidRDefault="00CD119B" w:rsidP="003B0C84">
      <w:pPr>
        <w:keepNext/>
        <w:jc w:val="center"/>
        <w:rPr>
          <w:rFonts w:ascii="Arial" w:hAnsi="Arial" w:cs="Arial"/>
          <w:color w:val="000000"/>
          <w:sz w:val="24"/>
          <w:szCs w:val="24"/>
        </w:rPr>
      </w:pPr>
      <w:r>
        <w:rPr>
          <w:rFonts w:ascii="Arial" w:hAnsi="Arial" w:cs="Arial"/>
          <w:color w:val="000000"/>
          <w:sz w:val="24"/>
          <w:szCs w:val="24"/>
        </w:rPr>
        <w:t>Marcelo Porteiro Cardoso</w:t>
      </w:r>
    </w:p>
    <w:p w14:paraId="1B10B955" w14:textId="330616E0" w:rsidR="00A925DE" w:rsidRPr="00642B07" w:rsidRDefault="00A925DE" w:rsidP="003B0C84">
      <w:pPr>
        <w:pStyle w:val="Ttulo5"/>
        <w:spacing w:before="0" w:after="0"/>
        <w:ind w:left="0"/>
        <w:jc w:val="center"/>
      </w:pPr>
      <w:r w:rsidRPr="00642B07">
        <w:t>Superintende</w:t>
      </w:r>
      <w:r>
        <w:t>nte</w:t>
      </w:r>
    </w:p>
    <w:p w14:paraId="6BA29F48" w14:textId="77777777" w:rsidR="00A925DE" w:rsidRPr="00642B07" w:rsidRDefault="00A925DE" w:rsidP="003B0C84">
      <w:pPr>
        <w:pStyle w:val="Ttulo5"/>
        <w:spacing w:before="0" w:after="0"/>
        <w:ind w:left="0"/>
        <w:jc w:val="center"/>
      </w:pPr>
      <w:r w:rsidRPr="00642B07">
        <w:t xml:space="preserve">Área de Operações </w:t>
      </w:r>
      <w:r w:rsidR="00095281">
        <w:t>e Canais Digitais</w:t>
      </w:r>
    </w:p>
    <w:p w14:paraId="58C59034" w14:textId="77777777" w:rsidR="001A69B7" w:rsidRPr="00295A2F" w:rsidRDefault="00A925DE" w:rsidP="00F62D1A">
      <w:pPr>
        <w:pStyle w:val="Ttulo5"/>
        <w:spacing w:before="0" w:after="0"/>
        <w:ind w:left="0"/>
        <w:jc w:val="center"/>
      </w:pPr>
      <w:r w:rsidRPr="00642B07">
        <w:t>BNDES</w:t>
      </w:r>
    </w:p>
    <w:sectPr w:rsidR="001A69B7" w:rsidRPr="00295A2F" w:rsidSect="009E784D">
      <w:headerReference w:type="default" r:id="rId8"/>
      <w:footerReference w:type="default" r:id="rId9"/>
      <w:headerReference w:type="first" r:id="rId10"/>
      <w:footerReference w:type="first" r:id="rId11"/>
      <w:pgSz w:w="11907" w:h="16840" w:code="9"/>
      <w:pgMar w:top="1701" w:right="851" w:bottom="1134" w:left="1418" w:header="851"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9380" w14:textId="77777777" w:rsidR="00F9731F" w:rsidRDefault="00F9731F">
      <w:r>
        <w:separator/>
      </w:r>
    </w:p>
  </w:endnote>
  <w:endnote w:type="continuationSeparator" w:id="0">
    <w:p w14:paraId="0E4F05EE" w14:textId="77777777" w:rsidR="00F9731F" w:rsidRDefault="00F9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1713" w14:textId="77777777" w:rsidR="00E35713" w:rsidRDefault="00E35713">
    <w:pPr>
      <w:pStyle w:val="Rodap"/>
      <w:jc w:val="right"/>
    </w:pPr>
    <w:r>
      <w:fldChar w:fldCharType="begin"/>
    </w:r>
    <w:r>
      <w:instrText>PAGE   \* MERGEFORMAT</w:instrText>
    </w:r>
    <w:r>
      <w:fldChar w:fldCharType="separate"/>
    </w:r>
    <w:r w:rsidR="008379BF">
      <w:rPr>
        <w:noProof/>
      </w:rPr>
      <w:t>2</w:t>
    </w:r>
    <w:r>
      <w:fldChar w:fldCharType="end"/>
    </w:r>
  </w:p>
  <w:p w14:paraId="1C36FE75" w14:textId="77777777" w:rsidR="00E35713" w:rsidRDefault="00E357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E4FD" w14:textId="77777777" w:rsidR="00E35713" w:rsidRDefault="00E35713">
    <w:pPr>
      <w:pStyle w:val="Rodap"/>
      <w:jc w:val="right"/>
    </w:pPr>
    <w:r>
      <w:fldChar w:fldCharType="begin"/>
    </w:r>
    <w:r>
      <w:instrText>PAGE   \* MERGEFORMAT</w:instrText>
    </w:r>
    <w:r>
      <w:fldChar w:fldCharType="separate"/>
    </w:r>
    <w:r w:rsidR="00CE1C80">
      <w:rPr>
        <w:noProof/>
      </w:rPr>
      <w:t>1</w:t>
    </w:r>
    <w:r>
      <w:fldChar w:fldCharType="end"/>
    </w:r>
  </w:p>
  <w:p w14:paraId="1F8AABD5" w14:textId="77777777" w:rsidR="00E35713" w:rsidRDefault="00E357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C08D" w14:textId="77777777" w:rsidR="00F9731F" w:rsidRDefault="00F9731F">
      <w:r>
        <w:separator/>
      </w:r>
    </w:p>
  </w:footnote>
  <w:footnote w:type="continuationSeparator" w:id="0">
    <w:p w14:paraId="3AFCB050" w14:textId="77777777" w:rsidR="00F9731F" w:rsidRDefault="00F9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19EF" w14:textId="3F0FD255" w:rsidR="00E35713" w:rsidRDefault="003B5B6D" w:rsidP="00E35713">
    <w:pPr>
      <w:pStyle w:val="Cabealho"/>
      <w:jc w:val="right"/>
      <w:rPr>
        <w:rFonts w:ascii="Helv" w:hAnsi="Helv" w:cs="Helv"/>
        <w:color w:val="999999"/>
        <w:sz w:val="18"/>
        <w:szCs w:val="18"/>
      </w:rPr>
    </w:pPr>
    <w:r>
      <w:rPr>
        <w:noProof/>
      </w:rPr>
      <w:drawing>
        <wp:anchor distT="0" distB="0" distL="114300" distR="114300" simplePos="0" relativeHeight="251658240" behindDoc="0" locked="0" layoutInCell="1" allowOverlap="1" wp14:anchorId="419428B1" wp14:editId="37331DED">
          <wp:simplePos x="0" y="0"/>
          <wp:positionH relativeFrom="column">
            <wp:posOffset>3810</wp:posOffset>
          </wp:positionH>
          <wp:positionV relativeFrom="paragraph">
            <wp:posOffset>-46355</wp:posOffset>
          </wp:positionV>
          <wp:extent cx="1371600" cy="2743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sidR="00E74DF2">
      <w:rPr>
        <w:rFonts w:ascii="Helv" w:hAnsi="Helv" w:cs="Helv"/>
        <w:b/>
        <w:bCs/>
        <w:color w:val="999999"/>
        <w:sz w:val="18"/>
        <w:szCs w:val="18"/>
      </w:rPr>
      <w:t>Grau</w:t>
    </w:r>
    <w:r w:rsidR="00E35713" w:rsidRPr="00A91166">
      <w:rPr>
        <w:rFonts w:ascii="Helv" w:hAnsi="Helv" w:cs="Helv"/>
        <w:b/>
        <w:bCs/>
        <w:color w:val="999999"/>
        <w:sz w:val="18"/>
        <w:szCs w:val="18"/>
      </w:rPr>
      <w:t>:</w:t>
    </w:r>
    <w:r w:rsidR="00E35713" w:rsidRPr="00A91166">
      <w:rPr>
        <w:rFonts w:ascii="Helv" w:hAnsi="Helv" w:cs="Helv"/>
        <w:color w:val="999999"/>
        <w:sz w:val="18"/>
        <w:szCs w:val="18"/>
      </w:rPr>
      <w:t xml:space="preserve"> Documento Ostensivo</w:t>
    </w:r>
  </w:p>
  <w:p w14:paraId="7454D324" w14:textId="77777777" w:rsidR="00F455E3" w:rsidRDefault="00E35713" w:rsidP="00E35713">
    <w:pPr>
      <w:pStyle w:val="Cabealho"/>
      <w:jc w:val="right"/>
      <w:rPr>
        <w:rFonts w:ascii="Arial" w:hAnsi="Arial"/>
        <w:b/>
        <w:i/>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w:t>
    </w:r>
    <w:r w:rsidR="00E74DF2">
      <w:rPr>
        <w:rFonts w:ascii="Helv" w:hAnsi="Helv" w:cs="Helv"/>
        <w:color w:val="999999"/>
        <w:sz w:val="18"/>
        <w:szCs w:val="18"/>
      </w:rPr>
      <w:t>ADIG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3B5C" w14:textId="4C65C07B" w:rsidR="00E35713" w:rsidRDefault="003B5B6D" w:rsidP="003647C4">
    <w:pPr>
      <w:pStyle w:val="Cabealho"/>
      <w:jc w:val="right"/>
      <w:rPr>
        <w:rFonts w:ascii="Helv" w:hAnsi="Helv" w:cs="Helv"/>
        <w:color w:val="999999"/>
        <w:sz w:val="18"/>
        <w:szCs w:val="18"/>
      </w:rPr>
    </w:pPr>
    <w:r>
      <w:rPr>
        <w:noProof/>
      </w:rPr>
      <w:drawing>
        <wp:anchor distT="0" distB="0" distL="114300" distR="114300" simplePos="0" relativeHeight="251657216" behindDoc="0" locked="0" layoutInCell="1" allowOverlap="1" wp14:anchorId="6BE9E956" wp14:editId="1A3DB56C">
          <wp:simplePos x="0" y="0"/>
          <wp:positionH relativeFrom="column">
            <wp:posOffset>3810</wp:posOffset>
          </wp:positionH>
          <wp:positionV relativeFrom="paragraph">
            <wp:posOffset>-46355</wp:posOffset>
          </wp:positionV>
          <wp:extent cx="1371600" cy="27432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sidR="00E74DF2">
      <w:rPr>
        <w:rFonts w:ascii="Helv" w:hAnsi="Helv" w:cs="Helv"/>
        <w:b/>
        <w:bCs/>
        <w:color w:val="999999"/>
        <w:sz w:val="18"/>
        <w:szCs w:val="18"/>
      </w:rPr>
      <w:t>Grau</w:t>
    </w:r>
    <w:r w:rsidR="00E35713" w:rsidRPr="00A91166">
      <w:rPr>
        <w:rFonts w:ascii="Helv" w:hAnsi="Helv" w:cs="Helv"/>
        <w:b/>
        <w:bCs/>
        <w:color w:val="999999"/>
        <w:sz w:val="18"/>
        <w:szCs w:val="18"/>
      </w:rPr>
      <w:t>:</w:t>
    </w:r>
    <w:r w:rsidR="00E35713" w:rsidRPr="00A91166">
      <w:rPr>
        <w:rFonts w:ascii="Helv" w:hAnsi="Helv" w:cs="Helv"/>
        <w:color w:val="999999"/>
        <w:sz w:val="18"/>
        <w:szCs w:val="18"/>
      </w:rPr>
      <w:t xml:space="preserve"> Documento Ostensivo</w:t>
    </w:r>
  </w:p>
  <w:p w14:paraId="00C706F3" w14:textId="77777777" w:rsidR="00F455E3" w:rsidRDefault="00E35713" w:rsidP="003647C4">
    <w:pPr>
      <w:pStyle w:val="Cabealho"/>
      <w:jc w:val="right"/>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sidR="00E74DF2">
      <w:rPr>
        <w:rFonts w:ascii="Helv" w:hAnsi="Helv" w:cs="Helv"/>
        <w:color w:val="999999"/>
        <w:sz w:val="18"/>
        <w:szCs w:val="18"/>
      </w:rPr>
      <w:t>DIG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3B9"/>
    <w:multiLevelType w:val="hybridMultilevel"/>
    <w:tmpl w:val="902EDFDC"/>
    <w:lvl w:ilvl="0" w:tplc="B7C82416">
      <w:start w:val="1"/>
      <w:numFmt w:val="decimal"/>
      <w:lvlText w:val="%1."/>
      <w:lvlJc w:val="left"/>
      <w:pPr>
        <w:ind w:left="720" w:hanging="360"/>
      </w:pPr>
      <w:rPr>
        <w:rFonts w:cs="Arial"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0F0922"/>
    <w:multiLevelType w:val="hybridMultilevel"/>
    <w:tmpl w:val="D834F362"/>
    <w:lvl w:ilvl="0" w:tplc="B62A186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D0F65"/>
    <w:multiLevelType w:val="hybridMultilevel"/>
    <w:tmpl w:val="0A501C6A"/>
    <w:lvl w:ilvl="0" w:tplc="7AAA6716">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632C3D"/>
    <w:multiLevelType w:val="multilevel"/>
    <w:tmpl w:val="EF9A7B8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rPr>
    </w:lvl>
    <w:lvl w:ilvl="2">
      <w:start w:val="1"/>
      <w:numFmt w:val="decimal"/>
      <w:lvlText w:val="%1.%2.%3."/>
      <w:lvlJc w:val="left"/>
      <w:pPr>
        <w:tabs>
          <w:tab w:val="num" w:pos="1713"/>
        </w:tabs>
        <w:ind w:left="1497" w:hanging="504"/>
      </w:pPr>
      <w:rPr>
        <w:rFonts w:hint="default"/>
        <w:b/>
      </w:rPr>
    </w:lvl>
    <w:lvl w:ilvl="3">
      <w:start w:val="1"/>
      <w:numFmt w:val="decimal"/>
      <w:lvlText w:val="%1.%2.%3.%4."/>
      <w:lvlJc w:val="left"/>
      <w:pPr>
        <w:tabs>
          <w:tab w:val="num" w:pos="4058"/>
        </w:tabs>
        <w:ind w:left="3626" w:hanging="648"/>
      </w:pPr>
      <w:rPr>
        <w:rFonts w:hint="default"/>
        <w:b/>
      </w:rPr>
    </w:lvl>
    <w:lvl w:ilvl="4">
      <w:start w:val="1"/>
      <w:numFmt w:val="decimal"/>
      <w:lvlText w:val="%1.%2.%3.%4.%5."/>
      <w:lvlJc w:val="left"/>
      <w:pPr>
        <w:tabs>
          <w:tab w:val="num" w:pos="2520"/>
        </w:tabs>
        <w:ind w:left="2232" w:hanging="792"/>
      </w:pPr>
      <w:rPr>
        <w:rFonts w:hint="default"/>
        <w:b w:val="0"/>
        <w:i w:val="0"/>
      </w:rPr>
    </w:lvl>
    <w:lvl w:ilvl="5">
      <w:start w:val="1"/>
      <w:numFmt w:val="decimal"/>
      <w:lvlText w:val="%1.%2.%3.%4.%5.%6."/>
      <w:lvlJc w:val="left"/>
      <w:pPr>
        <w:tabs>
          <w:tab w:val="num" w:pos="3240"/>
        </w:tabs>
        <w:ind w:left="2736" w:hanging="936"/>
      </w:pPr>
      <w:rPr>
        <w:rFonts w:hint="default"/>
        <w:b/>
      </w:rPr>
    </w:lvl>
    <w:lvl w:ilvl="6">
      <w:start w:val="1"/>
      <w:numFmt w:val="lowerLetter"/>
      <w:lvlText w:val="%7)"/>
      <w:lvlJc w:val="left"/>
      <w:pPr>
        <w:tabs>
          <w:tab w:val="num" w:pos="2520"/>
        </w:tabs>
        <w:ind w:left="2520" w:hanging="36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4" w15:restartNumberingAfterBreak="0">
    <w:nsid w:val="15516927"/>
    <w:multiLevelType w:val="multilevel"/>
    <w:tmpl w:val="09404D80"/>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430"/>
        </w:tabs>
        <w:ind w:left="1430" w:hanging="720"/>
      </w:pPr>
      <w:rPr>
        <w:rFonts w:ascii="Arial" w:hAnsi="Arial" w:cs="Arial" w:hint="default"/>
        <w:b/>
        <w:i w:val="0"/>
        <w:color w:val="auto"/>
        <w:sz w:val="24"/>
        <w:szCs w:val="24"/>
        <w:u w:val="none"/>
      </w:rPr>
    </w:lvl>
    <w:lvl w:ilvl="2">
      <w:start w:val="1"/>
      <w:numFmt w:val="decimal"/>
      <w:lvlText w:val="%1.%2.%3."/>
      <w:lvlJc w:val="left"/>
      <w:pPr>
        <w:tabs>
          <w:tab w:val="num" w:pos="1997"/>
        </w:tabs>
        <w:ind w:left="1997"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lowerLetter"/>
      <w:lvlText w:val="%5)"/>
      <w:lvlJc w:val="left"/>
      <w:pPr>
        <w:tabs>
          <w:tab w:val="num" w:pos="5400"/>
        </w:tabs>
        <w:ind w:left="5400" w:hanging="1080"/>
      </w:pPr>
      <w:rPr>
        <w:rFonts w:ascii="Arial" w:eastAsia="Times New Roman" w:hAnsi="Arial" w:cs="Arial"/>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5" w15:restartNumberingAfterBreak="0">
    <w:nsid w:val="1990703F"/>
    <w:multiLevelType w:val="hybridMultilevel"/>
    <w:tmpl w:val="6B482EC2"/>
    <w:lvl w:ilvl="0" w:tplc="D5D02590">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265C4C4F"/>
    <w:multiLevelType w:val="hybridMultilevel"/>
    <w:tmpl w:val="0E5C2814"/>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28A50B75"/>
    <w:multiLevelType w:val="hybridMultilevel"/>
    <w:tmpl w:val="8AAA437C"/>
    <w:lvl w:ilvl="0" w:tplc="6826CF88">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761077"/>
    <w:multiLevelType w:val="hybridMultilevel"/>
    <w:tmpl w:val="E0388152"/>
    <w:lvl w:ilvl="0" w:tplc="89669312">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8C0506"/>
    <w:multiLevelType w:val="hybridMultilevel"/>
    <w:tmpl w:val="B59EFA20"/>
    <w:lvl w:ilvl="0" w:tplc="42B69F8E">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A34E61"/>
    <w:multiLevelType w:val="hybridMultilevel"/>
    <w:tmpl w:val="F3B02C6A"/>
    <w:lvl w:ilvl="0" w:tplc="1D2A56E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45156884"/>
    <w:multiLevelType w:val="multilevel"/>
    <w:tmpl w:val="D8E0B9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C060E8"/>
    <w:multiLevelType w:val="hybridMultilevel"/>
    <w:tmpl w:val="7702EA36"/>
    <w:lvl w:ilvl="0" w:tplc="C88E69FA">
      <w:start w:val="1"/>
      <w:numFmt w:val="decimal"/>
      <w:lvlText w:val="%1."/>
      <w:lvlJc w:val="left"/>
      <w:pPr>
        <w:ind w:left="1287" w:hanging="360"/>
      </w:pPr>
      <w:rPr>
        <w:rFonts w:ascii="Arial" w:hAnsi="Arial" w:cs="Arial" w:hint="default"/>
        <w:sz w:val="24"/>
        <w:szCs w:val="24"/>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EB7195F"/>
    <w:multiLevelType w:val="hybridMultilevel"/>
    <w:tmpl w:val="33BE6B94"/>
    <w:lvl w:ilvl="0" w:tplc="2CB0A0F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47B4A67"/>
    <w:multiLevelType w:val="multilevel"/>
    <w:tmpl w:val="5A365C7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8AB60E3"/>
    <w:multiLevelType w:val="hybridMultilevel"/>
    <w:tmpl w:val="445E41D4"/>
    <w:lvl w:ilvl="0" w:tplc="0EB6AD0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8348F"/>
    <w:multiLevelType w:val="hybridMultilevel"/>
    <w:tmpl w:val="D346A6D0"/>
    <w:lvl w:ilvl="0" w:tplc="60B43C8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050E2C"/>
    <w:multiLevelType w:val="hybridMultilevel"/>
    <w:tmpl w:val="CF80DFD2"/>
    <w:lvl w:ilvl="0" w:tplc="453ED2E8">
      <w:start w:val="1"/>
      <w:numFmt w:val="lowerLetter"/>
      <w:lvlText w:val="%1)"/>
      <w:lvlJc w:val="left"/>
      <w:pPr>
        <w:ind w:left="1428" w:hanging="435"/>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15:restartNumberingAfterBreak="0">
    <w:nsid w:val="6A285B23"/>
    <w:multiLevelType w:val="hybridMultilevel"/>
    <w:tmpl w:val="9820A052"/>
    <w:lvl w:ilvl="0" w:tplc="0EB6AD04">
      <w:start w:val="1"/>
      <w:numFmt w:val="low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15:restartNumberingAfterBreak="0">
    <w:nsid w:val="6D051F91"/>
    <w:multiLevelType w:val="hybridMultilevel"/>
    <w:tmpl w:val="656411AC"/>
    <w:lvl w:ilvl="0" w:tplc="30A822BA">
      <w:start w:val="1"/>
      <w:numFmt w:val="lowerRoman"/>
      <w:lvlText w:val="(%1)"/>
      <w:lvlJc w:val="left"/>
      <w:pPr>
        <w:ind w:left="1080" w:hanging="720"/>
      </w:pPr>
      <w:rPr>
        <w:rFonts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7B344F"/>
    <w:multiLevelType w:val="hybridMultilevel"/>
    <w:tmpl w:val="EDBAC1F4"/>
    <w:lvl w:ilvl="0" w:tplc="0EEA99E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930D35"/>
    <w:multiLevelType w:val="hybridMultilevel"/>
    <w:tmpl w:val="AE08F508"/>
    <w:lvl w:ilvl="0" w:tplc="CD5A9A8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77DA3EF8"/>
    <w:multiLevelType w:val="multilevel"/>
    <w:tmpl w:val="06647E90"/>
    <w:lvl w:ilvl="0">
      <w:start w:val="1"/>
      <w:numFmt w:val="decimal"/>
      <w:lvlText w:val="%1."/>
      <w:lvlJc w:val="left"/>
      <w:pPr>
        <w:ind w:left="720" w:hanging="360"/>
      </w:pPr>
      <w:rPr>
        <w:rFonts w:hint="default"/>
        <w:b/>
      </w:rPr>
    </w:lvl>
    <w:lvl w:ilvl="1">
      <w:start w:val="3"/>
      <w:numFmt w:val="decimal"/>
      <w:isLgl/>
      <w:lvlText w:val="%1.%2."/>
      <w:lvlJc w:val="left"/>
      <w:pPr>
        <w:ind w:left="1145" w:hanging="720"/>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23" w15:restartNumberingAfterBreak="0">
    <w:nsid w:val="79DA6BB9"/>
    <w:multiLevelType w:val="hybridMultilevel"/>
    <w:tmpl w:val="72C6B6C4"/>
    <w:lvl w:ilvl="0" w:tplc="284C3958">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116547"/>
    <w:multiLevelType w:val="multilevel"/>
    <w:tmpl w:val="624442B0"/>
    <w:lvl w:ilvl="0">
      <w:start w:val="8"/>
      <w:numFmt w:val="decimal"/>
      <w:lvlText w:val="%1."/>
      <w:lvlJc w:val="left"/>
      <w:pPr>
        <w:ind w:left="720" w:hanging="360"/>
      </w:pPr>
      <w:rPr>
        <w:rFonts w:hint="default"/>
      </w:rPr>
    </w:lvl>
    <w:lvl w:ilvl="1">
      <w:start w:val="1"/>
      <w:numFmt w:val="decimal"/>
      <w:isLgl/>
      <w:lvlText w:val="%1.%2."/>
      <w:lvlJc w:val="left"/>
      <w:pPr>
        <w:ind w:left="1854" w:hanging="72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5" w15:restartNumberingAfterBreak="0">
    <w:nsid w:val="7D5735BC"/>
    <w:multiLevelType w:val="hybridMultilevel"/>
    <w:tmpl w:val="7BFE66D8"/>
    <w:lvl w:ilvl="0" w:tplc="B1DE1EB6">
      <w:start w:val="1"/>
      <w:numFmt w:val="lowerLetter"/>
      <w:lvlText w:val="%1)"/>
      <w:lvlJc w:val="left"/>
      <w:pPr>
        <w:ind w:left="2061" w:hanging="360"/>
      </w:pPr>
      <w:rPr>
        <w:rFonts w:eastAsia="Arial" w:cs="Arial"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664016664">
    <w:abstractNumId w:val="3"/>
  </w:num>
  <w:num w:numId="2" w16cid:durableId="876965025">
    <w:abstractNumId w:val="20"/>
  </w:num>
  <w:num w:numId="3" w16cid:durableId="691414217">
    <w:abstractNumId w:val="18"/>
  </w:num>
  <w:num w:numId="4" w16cid:durableId="2124835085">
    <w:abstractNumId w:val="6"/>
  </w:num>
  <w:num w:numId="5" w16cid:durableId="1800419949">
    <w:abstractNumId w:val="9"/>
  </w:num>
  <w:num w:numId="6" w16cid:durableId="866983788">
    <w:abstractNumId w:val="15"/>
  </w:num>
  <w:num w:numId="7" w16cid:durableId="481703611">
    <w:abstractNumId w:val="24"/>
  </w:num>
  <w:num w:numId="8" w16cid:durableId="1724284789">
    <w:abstractNumId w:val="11"/>
  </w:num>
  <w:num w:numId="9" w16cid:durableId="138888660">
    <w:abstractNumId w:val="4"/>
  </w:num>
  <w:num w:numId="10" w16cid:durableId="550724958">
    <w:abstractNumId w:val="13"/>
  </w:num>
  <w:num w:numId="11" w16cid:durableId="886575167">
    <w:abstractNumId w:val="5"/>
  </w:num>
  <w:num w:numId="12" w16cid:durableId="1265572968">
    <w:abstractNumId w:val="22"/>
  </w:num>
  <w:num w:numId="13" w16cid:durableId="1492139963">
    <w:abstractNumId w:val="16"/>
  </w:num>
  <w:num w:numId="14" w16cid:durableId="317732305">
    <w:abstractNumId w:val="14"/>
  </w:num>
  <w:num w:numId="15" w16cid:durableId="1557936550">
    <w:abstractNumId w:val="23"/>
  </w:num>
  <w:num w:numId="16" w16cid:durableId="574701586">
    <w:abstractNumId w:val="1"/>
  </w:num>
  <w:num w:numId="17" w16cid:durableId="1996102619">
    <w:abstractNumId w:val="19"/>
  </w:num>
  <w:num w:numId="18" w16cid:durableId="1970698881">
    <w:abstractNumId w:val="7"/>
  </w:num>
  <w:num w:numId="19" w16cid:durableId="609819898">
    <w:abstractNumId w:val="25"/>
  </w:num>
  <w:num w:numId="20" w16cid:durableId="260190575">
    <w:abstractNumId w:val="21"/>
  </w:num>
  <w:num w:numId="21" w16cid:durableId="1610233996">
    <w:abstractNumId w:val="17"/>
  </w:num>
  <w:num w:numId="22" w16cid:durableId="1992177484">
    <w:abstractNumId w:val="2"/>
  </w:num>
  <w:num w:numId="23" w16cid:durableId="1885557128">
    <w:abstractNumId w:val="0"/>
  </w:num>
  <w:num w:numId="24" w16cid:durableId="586815267">
    <w:abstractNumId w:val="12"/>
  </w:num>
  <w:num w:numId="25" w16cid:durableId="69543654">
    <w:abstractNumId w:val="10"/>
  </w:num>
  <w:num w:numId="26" w16cid:durableId="175767667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rRevlJiqIed2GSmlSpbMV1sHGwkI9rPfn04TdNCMKLoQqWCQZzwVGM0S8d5ddRaUk3i/k68B86Ie/Hw6RH5NPg==" w:salt="LP8FZYY8XU51Pv5zbJrbz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B1"/>
    <w:rsid w:val="00000685"/>
    <w:rsid w:val="00001CA7"/>
    <w:rsid w:val="00001E55"/>
    <w:rsid w:val="00002D39"/>
    <w:rsid w:val="00004358"/>
    <w:rsid w:val="000110FD"/>
    <w:rsid w:val="00015255"/>
    <w:rsid w:val="000203FF"/>
    <w:rsid w:val="000207BD"/>
    <w:rsid w:val="00021592"/>
    <w:rsid w:val="00022C3B"/>
    <w:rsid w:val="00023548"/>
    <w:rsid w:val="000240CD"/>
    <w:rsid w:val="00026A18"/>
    <w:rsid w:val="00031808"/>
    <w:rsid w:val="00032E1E"/>
    <w:rsid w:val="00034EA2"/>
    <w:rsid w:val="0003556B"/>
    <w:rsid w:val="00042505"/>
    <w:rsid w:val="000436DD"/>
    <w:rsid w:val="00044345"/>
    <w:rsid w:val="000447FB"/>
    <w:rsid w:val="00044CAB"/>
    <w:rsid w:val="0004554E"/>
    <w:rsid w:val="0004691F"/>
    <w:rsid w:val="00050560"/>
    <w:rsid w:val="00053DD8"/>
    <w:rsid w:val="000547EC"/>
    <w:rsid w:val="00061404"/>
    <w:rsid w:val="00061469"/>
    <w:rsid w:val="00062670"/>
    <w:rsid w:val="0006408C"/>
    <w:rsid w:val="00064EF8"/>
    <w:rsid w:val="00065443"/>
    <w:rsid w:val="00067547"/>
    <w:rsid w:val="00070CAC"/>
    <w:rsid w:val="00071E7F"/>
    <w:rsid w:val="000741A5"/>
    <w:rsid w:val="00076F57"/>
    <w:rsid w:val="00081547"/>
    <w:rsid w:val="00081687"/>
    <w:rsid w:val="000822F7"/>
    <w:rsid w:val="0008799A"/>
    <w:rsid w:val="00087A3F"/>
    <w:rsid w:val="00087F99"/>
    <w:rsid w:val="00093216"/>
    <w:rsid w:val="0009423D"/>
    <w:rsid w:val="00095281"/>
    <w:rsid w:val="000956A1"/>
    <w:rsid w:val="00097F47"/>
    <w:rsid w:val="000A31EE"/>
    <w:rsid w:val="000A3E23"/>
    <w:rsid w:val="000A4A0A"/>
    <w:rsid w:val="000A7B28"/>
    <w:rsid w:val="000B0AE6"/>
    <w:rsid w:val="000B329B"/>
    <w:rsid w:val="000B45B6"/>
    <w:rsid w:val="000B4BAC"/>
    <w:rsid w:val="000B53E1"/>
    <w:rsid w:val="000B5446"/>
    <w:rsid w:val="000B635A"/>
    <w:rsid w:val="000C1D43"/>
    <w:rsid w:val="000C2A0C"/>
    <w:rsid w:val="000C456D"/>
    <w:rsid w:val="000C50D8"/>
    <w:rsid w:val="000C7993"/>
    <w:rsid w:val="000D1295"/>
    <w:rsid w:val="000D132C"/>
    <w:rsid w:val="000D1B69"/>
    <w:rsid w:val="000D50C1"/>
    <w:rsid w:val="000D5E14"/>
    <w:rsid w:val="000D6C02"/>
    <w:rsid w:val="000E0305"/>
    <w:rsid w:val="000E3C73"/>
    <w:rsid w:val="000E49A1"/>
    <w:rsid w:val="000E4A43"/>
    <w:rsid w:val="000E4A8E"/>
    <w:rsid w:val="000E4D15"/>
    <w:rsid w:val="000E5967"/>
    <w:rsid w:val="000F01FC"/>
    <w:rsid w:val="000F220F"/>
    <w:rsid w:val="000F228A"/>
    <w:rsid w:val="000F33C1"/>
    <w:rsid w:val="000F41EF"/>
    <w:rsid w:val="000F64ED"/>
    <w:rsid w:val="000F6E0F"/>
    <w:rsid w:val="000F7984"/>
    <w:rsid w:val="001046E0"/>
    <w:rsid w:val="0010525C"/>
    <w:rsid w:val="001061C9"/>
    <w:rsid w:val="00106408"/>
    <w:rsid w:val="00106C75"/>
    <w:rsid w:val="0010717B"/>
    <w:rsid w:val="001106B5"/>
    <w:rsid w:val="00113CF8"/>
    <w:rsid w:val="0011521C"/>
    <w:rsid w:val="00116B03"/>
    <w:rsid w:val="001178AE"/>
    <w:rsid w:val="00121A5C"/>
    <w:rsid w:val="00123D3F"/>
    <w:rsid w:val="00124797"/>
    <w:rsid w:val="00124885"/>
    <w:rsid w:val="00124EC2"/>
    <w:rsid w:val="00134939"/>
    <w:rsid w:val="0013703E"/>
    <w:rsid w:val="00140C18"/>
    <w:rsid w:val="00144146"/>
    <w:rsid w:val="00144390"/>
    <w:rsid w:val="00151D8D"/>
    <w:rsid w:val="0015399D"/>
    <w:rsid w:val="00154ABB"/>
    <w:rsid w:val="00155C42"/>
    <w:rsid w:val="00157864"/>
    <w:rsid w:val="00160598"/>
    <w:rsid w:val="00160B31"/>
    <w:rsid w:val="0016163C"/>
    <w:rsid w:val="00161682"/>
    <w:rsid w:val="00163D45"/>
    <w:rsid w:val="00165B05"/>
    <w:rsid w:val="00166220"/>
    <w:rsid w:val="00170C5B"/>
    <w:rsid w:val="00173293"/>
    <w:rsid w:val="001733C5"/>
    <w:rsid w:val="00174EB6"/>
    <w:rsid w:val="001754A2"/>
    <w:rsid w:val="00176B37"/>
    <w:rsid w:val="001775AD"/>
    <w:rsid w:val="00177911"/>
    <w:rsid w:val="00181388"/>
    <w:rsid w:val="00181843"/>
    <w:rsid w:val="001831CB"/>
    <w:rsid w:val="00183252"/>
    <w:rsid w:val="00183867"/>
    <w:rsid w:val="00183E35"/>
    <w:rsid w:val="00184ECD"/>
    <w:rsid w:val="00186845"/>
    <w:rsid w:val="00187AF6"/>
    <w:rsid w:val="00190EB2"/>
    <w:rsid w:val="00191207"/>
    <w:rsid w:val="0019271B"/>
    <w:rsid w:val="00192A96"/>
    <w:rsid w:val="001935DD"/>
    <w:rsid w:val="00193878"/>
    <w:rsid w:val="0019405E"/>
    <w:rsid w:val="00195516"/>
    <w:rsid w:val="00195AD6"/>
    <w:rsid w:val="00197034"/>
    <w:rsid w:val="00197B29"/>
    <w:rsid w:val="001A1F9E"/>
    <w:rsid w:val="001A2169"/>
    <w:rsid w:val="001A2521"/>
    <w:rsid w:val="001A38EF"/>
    <w:rsid w:val="001A3C55"/>
    <w:rsid w:val="001A64B8"/>
    <w:rsid w:val="001A69B7"/>
    <w:rsid w:val="001B0A8C"/>
    <w:rsid w:val="001B1013"/>
    <w:rsid w:val="001B1419"/>
    <w:rsid w:val="001B29D2"/>
    <w:rsid w:val="001B2F00"/>
    <w:rsid w:val="001B3CE3"/>
    <w:rsid w:val="001B6302"/>
    <w:rsid w:val="001B6836"/>
    <w:rsid w:val="001B7EF0"/>
    <w:rsid w:val="001C05BA"/>
    <w:rsid w:val="001C08E9"/>
    <w:rsid w:val="001C29DA"/>
    <w:rsid w:val="001C3FF3"/>
    <w:rsid w:val="001C6E49"/>
    <w:rsid w:val="001D1A65"/>
    <w:rsid w:val="001D1D1A"/>
    <w:rsid w:val="001D208E"/>
    <w:rsid w:val="001D22F1"/>
    <w:rsid w:val="001D3180"/>
    <w:rsid w:val="001D39A4"/>
    <w:rsid w:val="001D559B"/>
    <w:rsid w:val="001D756F"/>
    <w:rsid w:val="001D7B15"/>
    <w:rsid w:val="001E04B1"/>
    <w:rsid w:val="001E0CC2"/>
    <w:rsid w:val="001E131A"/>
    <w:rsid w:val="001E182F"/>
    <w:rsid w:val="001E1EA6"/>
    <w:rsid w:val="001E1F22"/>
    <w:rsid w:val="001E292F"/>
    <w:rsid w:val="001E52EA"/>
    <w:rsid w:val="001E5912"/>
    <w:rsid w:val="001E6095"/>
    <w:rsid w:val="001F4586"/>
    <w:rsid w:val="001F47BB"/>
    <w:rsid w:val="001F4EB9"/>
    <w:rsid w:val="001F6313"/>
    <w:rsid w:val="001F7E0A"/>
    <w:rsid w:val="0020063E"/>
    <w:rsid w:val="002022DB"/>
    <w:rsid w:val="002039FE"/>
    <w:rsid w:val="002042DF"/>
    <w:rsid w:val="002044C3"/>
    <w:rsid w:val="00205716"/>
    <w:rsid w:val="00205D04"/>
    <w:rsid w:val="0020743E"/>
    <w:rsid w:val="0020789A"/>
    <w:rsid w:val="00210D48"/>
    <w:rsid w:val="00211C3B"/>
    <w:rsid w:val="00212860"/>
    <w:rsid w:val="00216184"/>
    <w:rsid w:val="002177AE"/>
    <w:rsid w:val="00226819"/>
    <w:rsid w:val="00226C23"/>
    <w:rsid w:val="00227309"/>
    <w:rsid w:val="002278A5"/>
    <w:rsid w:val="0023061D"/>
    <w:rsid w:val="00231276"/>
    <w:rsid w:val="00233635"/>
    <w:rsid w:val="00236CBA"/>
    <w:rsid w:val="00236D3D"/>
    <w:rsid w:val="00236F92"/>
    <w:rsid w:val="00237789"/>
    <w:rsid w:val="002407D1"/>
    <w:rsid w:val="00241C8A"/>
    <w:rsid w:val="00244035"/>
    <w:rsid w:val="00246A6E"/>
    <w:rsid w:val="00251E2C"/>
    <w:rsid w:val="00252727"/>
    <w:rsid w:val="00253C88"/>
    <w:rsid w:val="00254E0E"/>
    <w:rsid w:val="00255A57"/>
    <w:rsid w:val="00256D26"/>
    <w:rsid w:val="00261572"/>
    <w:rsid w:val="002616D6"/>
    <w:rsid w:val="00261A40"/>
    <w:rsid w:val="00262190"/>
    <w:rsid w:val="00263479"/>
    <w:rsid w:val="00265826"/>
    <w:rsid w:val="00265D55"/>
    <w:rsid w:val="00266701"/>
    <w:rsid w:val="002708CB"/>
    <w:rsid w:val="00271740"/>
    <w:rsid w:val="002725F2"/>
    <w:rsid w:val="002743F2"/>
    <w:rsid w:val="0027458D"/>
    <w:rsid w:val="00277437"/>
    <w:rsid w:val="0028095D"/>
    <w:rsid w:val="002816BD"/>
    <w:rsid w:val="00287AD8"/>
    <w:rsid w:val="00290A1C"/>
    <w:rsid w:val="00294F66"/>
    <w:rsid w:val="002950A3"/>
    <w:rsid w:val="002A2890"/>
    <w:rsid w:val="002A4851"/>
    <w:rsid w:val="002A5AAF"/>
    <w:rsid w:val="002A6B69"/>
    <w:rsid w:val="002A6C0F"/>
    <w:rsid w:val="002B2B7A"/>
    <w:rsid w:val="002B2CFD"/>
    <w:rsid w:val="002C0235"/>
    <w:rsid w:val="002C181A"/>
    <w:rsid w:val="002C1F83"/>
    <w:rsid w:val="002C3FCB"/>
    <w:rsid w:val="002C5603"/>
    <w:rsid w:val="002C704D"/>
    <w:rsid w:val="002D0A4F"/>
    <w:rsid w:val="002D0D8E"/>
    <w:rsid w:val="002D3D6E"/>
    <w:rsid w:val="002D48B1"/>
    <w:rsid w:val="002E1507"/>
    <w:rsid w:val="002E2F61"/>
    <w:rsid w:val="002E3A1B"/>
    <w:rsid w:val="002E3DC8"/>
    <w:rsid w:val="002E4476"/>
    <w:rsid w:val="002E4547"/>
    <w:rsid w:val="002E46AC"/>
    <w:rsid w:val="002E49F8"/>
    <w:rsid w:val="002E4B37"/>
    <w:rsid w:val="002E5D08"/>
    <w:rsid w:val="002E5F41"/>
    <w:rsid w:val="002E61A6"/>
    <w:rsid w:val="002E72B7"/>
    <w:rsid w:val="002E7AFC"/>
    <w:rsid w:val="002F0409"/>
    <w:rsid w:val="002F1387"/>
    <w:rsid w:val="002F795A"/>
    <w:rsid w:val="002F7A13"/>
    <w:rsid w:val="002F7A8F"/>
    <w:rsid w:val="002F7B11"/>
    <w:rsid w:val="003000F8"/>
    <w:rsid w:val="00301131"/>
    <w:rsid w:val="00301B8B"/>
    <w:rsid w:val="00301CB1"/>
    <w:rsid w:val="00302E01"/>
    <w:rsid w:val="0030336F"/>
    <w:rsid w:val="00303D64"/>
    <w:rsid w:val="003045BE"/>
    <w:rsid w:val="00306534"/>
    <w:rsid w:val="00312563"/>
    <w:rsid w:val="00312F94"/>
    <w:rsid w:val="003150D3"/>
    <w:rsid w:val="003156EF"/>
    <w:rsid w:val="00316540"/>
    <w:rsid w:val="003215E1"/>
    <w:rsid w:val="00322D6E"/>
    <w:rsid w:val="00323FAF"/>
    <w:rsid w:val="00324C21"/>
    <w:rsid w:val="00325B64"/>
    <w:rsid w:val="00327ACB"/>
    <w:rsid w:val="00331023"/>
    <w:rsid w:val="00332C64"/>
    <w:rsid w:val="00332C9E"/>
    <w:rsid w:val="0033479C"/>
    <w:rsid w:val="0033663F"/>
    <w:rsid w:val="00337045"/>
    <w:rsid w:val="00337E60"/>
    <w:rsid w:val="00340BC8"/>
    <w:rsid w:val="00341075"/>
    <w:rsid w:val="00341188"/>
    <w:rsid w:val="00343146"/>
    <w:rsid w:val="0034484B"/>
    <w:rsid w:val="003448D0"/>
    <w:rsid w:val="00346BE7"/>
    <w:rsid w:val="003474AE"/>
    <w:rsid w:val="0034791E"/>
    <w:rsid w:val="00350444"/>
    <w:rsid w:val="003511C6"/>
    <w:rsid w:val="003512E7"/>
    <w:rsid w:val="003521CE"/>
    <w:rsid w:val="00352C43"/>
    <w:rsid w:val="0035437D"/>
    <w:rsid w:val="0035448F"/>
    <w:rsid w:val="00354DF2"/>
    <w:rsid w:val="00360219"/>
    <w:rsid w:val="00361637"/>
    <w:rsid w:val="00361CD0"/>
    <w:rsid w:val="00362FEC"/>
    <w:rsid w:val="00364419"/>
    <w:rsid w:val="00364600"/>
    <w:rsid w:val="003647C4"/>
    <w:rsid w:val="0036562C"/>
    <w:rsid w:val="0036614F"/>
    <w:rsid w:val="00372453"/>
    <w:rsid w:val="003748AB"/>
    <w:rsid w:val="0037664B"/>
    <w:rsid w:val="00380601"/>
    <w:rsid w:val="0038777E"/>
    <w:rsid w:val="00391A68"/>
    <w:rsid w:val="00393D97"/>
    <w:rsid w:val="0039475D"/>
    <w:rsid w:val="00395454"/>
    <w:rsid w:val="00397D29"/>
    <w:rsid w:val="003A0C32"/>
    <w:rsid w:val="003A257D"/>
    <w:rsid w:val="003A343A"/>
    <w:rsid w:val="003B034A"/>
    <w:rsid w:val="003B08D0"/>
    <w:rsid w:val="003B0C84"/>
    <w:rsid w:val="003B25E6"/>
    <w:rsid w:val="003B52EC"/>
    <w:rsid w:val="003B55BF"/>
    <w:rsid w:val="003B5B6D"/>
    <w:rsid w:val="003B64E2"/>
    <w:rsid w:val="003B7F83"/>
    <w:rsid w:val="003C062D"/>
    <w:rsid w:val="003C07BD"/>
    <w:rsid w:val="003C1673"/>
    <w:rsid w:val="003C2128"/>
    <w:rsid w:val="003C261C"/>
    <w:rsid w:val="003C26F4"/>
    <w:rsid w:val="003C26FB"/>
    <w:rsid w:val="003C286B"/>
    <w:rsid w:val="003C3423"/>
    <w:rsid w:val="003C7843"/>
    <w:rsid w:val="003C7981"/>
    <w:rsid w:val="003D0CF3"/>
    <w:rsid w:val="003D1D84"/>
    <w:rsid w:val="003D3B29"/>
    <w:rsid w:val="003E1711"/>
    <w:rsid w:val="003E3758"/>
    <w:rsid w:val="003E7EC3"/>
    <w:rsid w:val="003F0031"/>
    <w:rsid w:val="003F3BAA"/>
    <w:rsid w:val="003F54ED"/>
    <w:rsid w:val="003F5DE1"/>
    <w:rsid w:val="004004C7"/>
    <w:rsid w:val="00403BE7"/>
    <w:rsid w:val="00404057"/>
    <w:rsid w:val="00411A8D"/>
    <w:rsid w:val="004152E6"/>
    <w:rsid w:val="00416C4F"/>
    <w:rsid w:val="00420CED"/>
    <w:rsid w:val="00422F96"/>
    <w:rsid w:val="00423EF2"/>
    <w:rsid w:val="004274CF"/>
    <w:rsid w:val="00430078"/>
    <w:rsid w:val="004311C3"/>
    <w:rsid w:val="00431EA6"/>
    <w:rsid w:val="00436D83"/>
    <w:rsid w:val="00441796"/>
    <w:rsid w:val="00442EEF"/>
    <w:rsid w:val="0044638D"/>
    <w:rsid w:val="0044672E"/>
    <w:rsid w:val="00450897"/>
    <w:rsid w:val="00450B20"/>
    <w:rsid w:val="00451457"/>
    <w:rsid w:val="00453CC1"/>
    <w:rsid w:val="00455114"/>
    <w:rsid w:val="00455C13"/>
    <w:rsid w:val="0046103F"/>
    <w:rsid w:val="00462BD0"/>
    <w:rsid w:val="00463CDE"/>
    <w:rsid w:val="00465C55"/>
    <w:rsid w:val="00467333"/>
    <w:rsid w:val="00471420"/>
    <w:rsid w:val="00471CB6"/>
    <w:rsid w:val="00471FDC"/>
    <w:rsid w:val="00474080"/>
    <w:rsid w:val="004755A9"/>
    <w:rsid w:val="00477515"/>
    <w:rsid w:val="00477C97"/>
    <w:rsid w:val="00477F6A"/>
    <w:rsid w:val="0048409D"/>
    <w:rsid w:val="0048492C"/>
    <w:rsid w:val="004851BA"/>
    <w:rsid w:val="004863A4"/>
    <w:rsid w:val="0048711F"/>
    <w:rsid w:val="004915F0"/>
    <w:rsid w:val="0049179D"/>
    <w:rsid w:val="0049275C"/>
    <w:rsid w:val="0049283B"/>
    <w:rsid w:val="00492BA7"/>
    <w:rsid w:val="00492CA5"/>
    <w:rsid w:val="004941C6"/>
    <w:rsid w:val="00496CC0"/>
    <w:rsid w:val="004A0396"/>
    <w:rsid w:val="004A0459"/>
    <w:rsid w:val="004A1963"/>
    <w:rsid w:val="004A29A3"/>
    <w:rsid w:val="004A2A05"/>
    <w:rsid w:val="004A6442"/>
    <w:rsid w:val="004A6727"/>
    <w:rsid w:val="004A684D"/>
    <w:rsid w:val="004A790D"/>
    <w:rsid w:val="004A7B9D"/>
    <w:rsid w:val="004B111A"/>
    <w:rsid w:val="004B213C"/>
    <w:rsid w:val="004B2B18"/>
    <w:rsid w:val="004B35C2"/>
    <w:rsid w:val="004B5E79"/>
    <w:rsid w:val="004C0E89"/>
    <w:rsid w:val="004C1149"/>
    <w:rsid w:val="004C1822"/>
    <w:rsid w:val="004C2517"/>
    <w:rsid w:val="004C2802"/>
    <w:rsid w:val="004C2A8B"/>
    <w:rsid w:val="004C4C5B"/>
    <w:rsid w:val="004C73B5"/>
    <w:rsid w:val="004C7540"/>
    <w:rsid w:val="004C7BAD"/>
    <w:rsid w:val="004C7CD7"/>
    <w:rsid w:val="004D129B"/>
    <w:rsid w:val="004D2A35"/>
    <w:rsid w:val="004D3DC1"/>
    <w:rsid w:val="004D65A2"/>
    <w:rsid w:val="004E29FC"/>
    <w:rsid w:val="004E36CB"/>
    <w:rsid w:val="004E67CF"/>
    <w:rsid w:val="004E6C14"/>
    <w:rsid w:val="004F09B2"/>
    <w:rsid w:val="004F0D9B"/>
    <w:rsid w:val="004F17BD"/>
    <w:rsid w:val="004F1ADF"/>
    <w:rsid w:val="004F2152"/>
    <w:rsid w:val="004F2718"/>
    <w:rsid w:val="004F357F"/>
    <w:rsid w:val="004F604A"/>
    <w:rsid w:val="004F688B"/>
    <w:rsid w:val="00500C16"/>
    <w:rsid w:val="00500D31"/>
    <w:rsid w:val="005031BA"/>
    <w:rsid w:val="0050364B"/>
    <w:rsid w:val="00504BA2"/>
    <w:rsid w:val="005102B1"/>
    <w:rsid w:val="00511275"/>
    <w:rsid w:val="0051332D"/>
    <w:rsid w:val="00514085"/>
    <w:rsid w:val="00515695"/>
    <w:rsid w:val="00515BE0"/>
    <w:rsid w:val="00517F9B"/>
    <w:rsid w:val="00520FBC"/>
    <w:rsid w:val="0052133B"/>
    <w:rsid w:val="0052184A"/>
    <w:rsid w:val="00521FCE"/>
    <w:rsid w:val="0052348F"/>
    <w:rsid w:val="00523C88"/>
    <w:rsid w:val="00524B6F"/>
    <w:rsid w:val="0052513A"/>
    <w:rsid w:val="00525AD6"/>
    <w:rsid w:val="0053235A"/>
    <w:rsid w:val="00532B07"/>
    <w:rsid w:val="00535056"/>
    <w:rsid w:val="00536569"/>
    <w:rsid w:val="00536589"/>
    <w:rsid w:val="00542597"/>
    <w:rsid w:val="005426BA"/>
    <w:rsid w:val="00543D96"/>
    <w:rsid w:val="00544530"/>
    <w:rsid w:val="0054608C"/>
    <w:rsid w:val="00550640"/>
    <w:rsid w:val="00550915"/>
    <w:rsid w:val="0055356A"/>
    <w:rsid w:val="00553701"/>
    <w:rsid w:val="005545C7"/>
    <w:rsid w:val="005555D8"/>
    <w:rsid w:val="0056571C"/>
    <w:rsid w:val="00566BD1"/>
    <w:rsid w:val="00567AEA"/>
    <w:rsid w:val="00570D47"/>
    <w:rsid w:val="00570E11"/>
    <w:rsid w:val="005711F5"/>
    <w:rsid w:val="0057141D"/>
    <w:rsid w:val="005716A4"/>
    <w:rsid w:val="005723DF"/>
    <w:rsid w:val="005733E5"/>
    <w:rsid w:val="00575D82"/>
    <w:rsid w:val="00577719"/>
    <w:rsid w:val="0058042F"/>
    <w:rsid w:val="00580D02"/>
    <w:rsid w:val="00580ECC"/>
    <w:rsid w:val="00581D27"/>
    <w:rsid w:val="00583ED4"/>
    <w:rsid w:val="0058429E"/>
    <w:rsid w:val="005850DF"/>
    <w:rsid w:val="00586E7E"/>
    <w:rsid w:val="0059175C"/>
    <w:rsid w:val="00591EF5"/>
    <w:rsid w:val="00591FF6"/>
    <w:rsid w:val="00594235"/>
    <w:rsid w:val="00596CC9"/>
    <w:rsid w:val="005A2B5A"/>
    <w:rsid w:val="005A2FAD"/>
    <w:rsid w:val="005A45B0"/>
    <w:rsid w:val="005A503B"/>
    <w:rsid w:val="005B3821"/>
    <w:rsid w:val="005B7A80"/>
    <w:rsid w:val="005C0F62"/>
    <w:rsid w:val="005C1FEC"/>
    <w:rsid w:val="005C6DB0"/>
    <w:rsid w:val="005D3DA6"/>
    <w:rsid w:val="005D401F"/>
    <w:rsid w:val="005D4343"/>
    <w:rsid w:val="005D4A62"/>
    <w:rsid w:val="005D4F9F"/>
    <w:rsid w:val="005D54E3"/>
    <w:rsid w:val="005D59FE"/>
    <w:rsid w:val="005D6845"/>
    <w:rsid w:val="005E0572"/>
    <w:rsid w:val="005E0BEF"/>
    <w:rsid w:val="005E1AE6"/>
    <w:rsid w:val="005E2102"/>
    <w:rsid w:val="005E294C"/>
    <w:rsid w:val="005E5523"/>
    <w:rsid w:val="005F0379"/>
    <w:rsid w:val="005F224D"/>
    <w:rsid w:val="005F5710"/>
    <w:rsid w:val="005F68BF"/>
    <w:rsid w:val="00600129"/>
    <w:rsid w:val="0060017C"/>
    <w:rsid w:val="006003C8"/>
    <w:rsid w:val="0060115A"/>
    <w:rsid w:val="00601468"/>
    <w:rsid w:val="006057D0"/>
    <w:rsid w:val="006122AA"/>
    <w:rsid w:val="00613B0C"/>
    <w:rsid w:val="00615772"/>
    <w:rsid w:val="00615A41"/>
    <w:rsid w:val="0061636A"/>
    <w:rsid w:val="0061655E"/>
    <w:rsid w:val="0061762B"/>
    <w:rsid w:val="00617D61"/>
    <w:rsid w:val="00620504"/>
    <w:rsid w:val="00620E3B"/>
    <w:rsid w:val="0062108C"/>
    <w:rsid w:val="0062136E"/>
    <w:rsid w:val="00623F7A"/>
    <w:rsid w:val="006248B9"/>
    <w:rsid w:val="006306EB"/>
    <w:rsid w:val="006318FE"/>
    <w:rsid w:val="00632333"/>
    <w:rsid w:val="00641C79"/>
    <w:rsid w:val="006425FE"/>
    <w:rsid w:val="0064372D"/>
    <w:rsid w:val="006439AA"/>
    <w:rsid w:val="00643F2C"/>
    <w:rsid w:val="0064435C"/>
    <w:rsid w:val="00647105"/>
    <w:rsid w:val="006472FB"/>
    <w:rsid w:val="00647A45"/>
    <w:rsid w:val="00650A10"/>
    <w:rsid w:val="00651D75"/>
    <w:rsid w:val="006534B2"/>
    <w:rsid w:val="00656406"/>
    <w:rsid w:val="0065656E"/>
    <w:rsid w:val="00657184"/>
    <w:rsid w:val="006573D4"/>
    <w:rsid w:val="006603BD"/>
    <w:rsid w:val="006626F4"/>
    <w:rsid w:val="006636DE"/>
    <w:rsid w:val="00663A7D"/>
    <w:rsid w:val="006665AF"/>
    <w:rsid w:val="006668C5"/>
    <w:rsid w:val="00666BCA"/>
    <w:rsid w:val="00667444"/>
    <w:rsid w:val="00667862"/>
    <w:rsid w:val="00667FCB"/>
    <w:rsid w:val="00671B34"/>
    <w:rsid w:val="006727A2"/>
    <w:rsid w:val="00675BCE"/>
    <w:rsid w:val="00675DE3"/>
    <w:rsid w:val="006764EB"/>
    <w:rsid w:val="00677292"/>
    <w:rsid w:val="00677774"/>
    <w:rsid w:val="006807C4"/>
    <w:rsid w:val="00681C52"/>
    <w:rsid w:val="00682CD9"/>
    <w:rsid w:val="006861D6"/>
    <w:rsid w:val="00690770"/>
    <w:rsid w:val="00690A84"/>
    <w:rsid w:val="006910E6"/>
    <w:rsid w:val="00691B4E"/>
    <w:rsid w:val="006921E4"/>
    <w:rsid w:val="00693977"/>
    <w:rsid w:val="0069468B"/>
    <w:rsid w:val="0069735E"/>
    <w:rsid w:val="006A0CCD"/>
    <w:rsid w:val="006A1DD1"/>
    <w:rsid w:val="006A319F"/>
    <w:rsid w:val="006A4351"/>
    <w:rsid w:val="006A4C41"/>
    <w:rsid w:val="006A68FF"/>
    <w:rsid w:val="006B215C"/>
    <w:rsid w:val="006B3451"/>
    <w:rsid w:val="006B4B8A"/>
    <w:rsid w:val="006B69C2"/>
    <w:rsid w:val="006B72F5"/>
    <w:rsid w:val="006B755A"/>
    <w:rsid w:val="006B7583"/>
    <w:rsid w:val="006C512B"/>
    <w:rsid w:val="006D2488"/>
    <w:rsid w:val="006D2DD8"/>
    <w:rsid w:val="006D3E06"/>
    <w:rsid w:val="006D5147"/>
    <w:rsid w:val="006E1C7D"/>
    <w:rsid w:val="006E21C2"/>
    <w:rsid w:val="006E4A3B"/>
    <w:rsid w:val="006E7D84"/>
    <w:rsid w:val="006F2695"/>
    <w:rsid w:val="006F3EE6"/>
    <w:rsid w:val="00702DD8"/>
    <w:rsid w:val="00703CC1"/>
    <w:rsid w:val="00703D06"/>
    <w:rsid w:val="007054FD"/>
    <w:rsid w:val="00707092"/>
    <w:rsid w:val="0070738D"/>
    <w:rsid w:val="00711470"/>
    <w:rsid w:val="00712617"/>
    <w:rsid w:val="00713822"/>
    <w:rsid w:val="00713C6A"/>
    <w:rsid w:val="00713E7D"/>
    <w:rsid w:val="00716000"/>
    <w:rsid w:val="00717250"/>
    <w:rsid w:val="00720870"/>
    <w:rsid w:val="00720C7E"/>
    <w:rsid w:val="00720DF3"/>
    <w:rsid w:val="0072137A"/>
    <w:rsid w:val="0072309D"/>
    <w:rsid w:val="00723AD8"/>
    <w:rsid w:val="00725F68"/>
    <w:rsid w:val="00726538"/>
    <w:rsid w:val="00726835"/>
    <w:rsid w:val="007274F7"/>
    <w:rsid w:val="00731CEB"/>
    <w:rsid w:val="00732460"/>
    <w:rsid w:val="00735EA1"/>
    <w:rsid w:val="00741ABC"/>
    <w:rsid w:val="00743ED5"/>
    <w:rsid w:val="00744866"/>
    <w:rsid w:val="007449C4"/>
    <w:rsid w:val="00746CB1"/>
    <w:rsid w:val="00747477"/>
    <w:rsid w:val="007504A9"/>
    <w:rsid w:val="007507A0"/>
    <w:rsid w:val="007539F3"/>
    <w:rsid w:val="00753EBA"/>
    <w:rsid w:val="00756152"/>
    <w:rsid w:val="00763824"/>
    <w:rsid w:val="007646AA"/>
    <w:rsid w:val="00764794"/>
    <w:rsid w:val="00764C51"/>
    <w:rsid w:val="00767FE5"/>
    <w:rsid w:val="0077057A"/>
    <w:rsid w:val="0077367C"/>
    <w:rsid w:val="007744F1"/>
    <w:rsid w:val="00775E70"/>
    <w:rsid w:val="00780C38"/>
    <w:rsid w:val="007820D8"/>
    <w:rsid w:val="00783210"/>
    <w:rsid w:val="00783FD0"/>
    <w:rsid w:val="00787CFC"/>
    <w:rsid w:val="007925D1"/>
    <w:rsid w:val="00792698"/>
    <w:rsid w:val="00792AE7"/>
    <w:rsid w:val="00793923"/>
    <w:rsid w:val="00795F5D"/>
    <w:rsid w:val="00796173"/>
    <w:rsid w:val="007A1338"/>
    <w:rsid w:val="007A228F"/>
    <w:rsid w:val="007A330B"/>
    <w:rsid w:val="007A424F"/>
    <w:rsid w:val="007B0975"/>
    <w:rsid w:val="007B4645"/>
    <w:rsid w:val="007B630F"/>
    <w:rsid w:val="007B6846"/>
    <w:rsid w:val="007C01C1"/>
    <w:rsid w:val="007C01D4"/>
    <w:rsid w:val="007C0606"/>
    <w:rsid w:val="007C11F8"/>
    <w:rsid w:val="007C273A"/>
    <w:rsid w:val="007C3F5D"/>
    <w:rsid w:val="007C5497"/>
    <w:rsid w:val="007C5E9A"/>
    <w:rsid w:val="007C6898"/>
    <w:rsid w:val="007C6CA1"/>
    <w:rsid w:val="007D6A75"/>
    <w:rsid w:val="007E016C"/>
    <w:rsid w:val="007E1AA1"/>
    <w:rsid w:val="007E49D3"/>
    <w:rsid w:val="007E6938"/>
    <w:rsid w:val="007E73E0"/>
    <w:rsid w:val="007E7DE9"/>
    <w:rsid w:val="007F26A4"/>
    <w:rsid w:val="007F3F82"/>
    <w:rsid w:val="00800164"/>
    <w:rsid w:val="008008C6"/>
    <w:rsid w:val="00802272"/>
    <w:rsid w:val="00802DE7"/>
    <w:rsid w:val="00803643"/>
    <w:rsid w:val="00803DB2"/>
    <w:rsid w:val="00804597"/>
    <w:rsid w:val="00805305"/>
    <w:rsid w:val="00812074"/>
    <w:rsid w:val="00813004"/>
    <w:rsid w:val="008149EF"/>
    <w:rsid w:val="008150C4"/>
    <w:rsid w:val="00815C19"/>
    <w:rsid w:val="008168F8"/>
    <w:rsid w:val="00821A96"/>
    <w:rsid w:val="00823913"/>
    <w:rsid w:val="00823E22"/>
    <w:rsid w:val="008254BB"/>
    <w:rsid w:val="008259AD"/>
    <w:rsid w:val="008279D3"/>
    <w:rsid w:val="00830F02"/>
    <w:rsid w:val="00832A67"/>
    <w:rsid w:val="008337AB"/>
    <w:rsid w:val="00834ED6"/>
    <w:rsid w:val="00836738"/>
    <w:rsid w:val="008379BF"/>
    <w:rsid w:val="00840229"/>
    <w:rsid w:val="00841068"/>
    <w:rsid w:val="0084451A"/>
    <w:rsid w:val="008457BB"/>
    <w:rsid w:val="008502B5"/>
    <w:rsid w:val="00854639"/>
    <w:rsid w:val="008550D4"/>
    <w:rsid w:val="008555B6"/>
    <w:rsid w:val="008558F5"/>
    <w:rsid w:val="00856353"/>
    <w:rsid w:val="0086213E"/>
    <w:rsid w:val="0086252B"/>
    <w:rsid w:val="00863394"/>
    <w:rsid w:val="00863BC4"/>
    <w:rsid w:val="00866C3A"/>
    <w:rsid w:val="00867306"/>
    <w:rsid w:val="00867F0D"/>
    <w:rsid w:val="00871871"/>
    <w:rsid w:val="00872AED"/>
    <w:rsid w:val="00873EC8"/>
    <w:rsid w:val="008755D1"/>
    <w:rsid w:val="008775A4"/>
    <w:rsid w:val="00877DE2"/>
    <w:rsid w:val="008800C1"/>
    <w:rsid w:val="00884144"/>
    <w:rsid w:val="00891F9A"/>
    <w:rsid w:val="008932B1"/>
    <w:rsid w:val="00893490"/>
    <w:rsid w:val="00893AAA"/>
    <w:rsid w:val="00893ABF"/>
    <w:rsid w:val="008A117B"/>
    <w:rsid w:val="008A227F"/>
    <w:rsid w:val="008A2916"/>
    <w:rsid w:val="008A2DD1"/>
    <w:rsid w:val="008A3324"/>
    <w:rsid w:val="008A33CD"/>
    <w:rsid w:val="008A40DB"/>
    <w:rsid w:val="008A53CA"/>
    <w:rsid w:val="008A59A3"/>
    <w:rsid w:val="008A6EAF"/>
    <w:rsid w:val="008B0474"/>
    <w:rsid w:val="008B2188"/>
    <w:rsid w:val="008B236E"/>
    <w:rsid w:val="008B2762"/>
    <w:rsid w:val="008B4A11"/>
    <w:rsid w:val="008B71AE"/>
    <w:rsid w:val="008B7789"/>
    <w:rsid w:val="008B7B79"/>
    <w:rsid w:val="008C19BC"/>
    <w:rsid w:val="008C1FAA"/>
    <w:rsid w:val="008C2020"/>
    <w:rsid w:val="008C31FF"/>
    <w:rsid w:val="008C3455"/>
    <w:rsid w:val="008C3DE3"/>
    <w:rsid w:val="008D0BAF"/>
    <w:rsid w:val="008D10A4"/>
    <w:rsid w:val="008D1324"/>
    <w:rsid w:val="008D46B6"/>
    <w:rsid w:val="008D4EC3"/>
    <w:rsid w:val="008D6979"/>
    <w:rsid w:val="008E3CF1"/>
    <w:rsid w:val="008E5E2F"/>
    <w:rsid w:val="008E7853"/>
    <w:rsid w:val="008E7E1E"/>
    <w:rsid w:val="008F06D8"/>
    <w:rsid w:val="008F2E01"/>
    <w:rsid w:val="008F40F5"/>
    <w:rsid w:val="008F4F7F"/>
    <w:rsid w:val="008F7C28"/>
    <w:rsid w:val="009013EF"/>
    <w:rsid w:val="00901AF2"/>
    <w:rsid w:val="00904C3B"/>
    <w:rsid w:val="00906338"/>
    <w:rsid w:val="009119E8"/>
    <w:rsid w:val="009165BE"/>
    <w:rsid w:val="009171A8"/>
    <w:rsid w:val="00917EB2"/>
    <w:rsid w:val="0092125D"/>
    <w:rsid w:val="00924A81"/>
    <w:rsid w:val="00926AE5"/>
    <w:rsid w:val="009301A2"/>
    <w:rsid w:val="00930B2A"/>
    <w:rsid w:val="009357EC"/>
    <w:rsid w:val="00935B57"/>
    <w:rsid w:val="00936FCB"/>
    <w:rsid w:val="00936FCE"/>
    <w:rsid w:val="00944556"/>
    <w:rsid w:val="009467D6"/>
    <w:rsid w:val="00947B67"/>
    <w:rsid w:val="00950D2D"/>
    <w:rsid w:val="00951479"/>
    <w:rsid w:val="009520CC"/>
    <w:rsid w:val="00952A21"/>
    <w:rsid w:val="009570AE"/>
    <w:rsid w:val="00957B9B"/>
    <w:rsid w:val="009602C7"/>
    <w:rsid w:val="00962BA1"/>
    <w:rsid w:val="00963DB9"/>
    <w:rsid w:val="00964E88"/>
    <w:rsid w:val="00966977"/>
    <w:rsid w:val="00971C49"/>
    <w:rsid w:val="00976DE2"/>
    <w:rsid w:val="0098158A"/>
    <w:rsid w:val="00983C57"/>
    <w:rsid w:val="009843DE"/>
    <w:rsid w:val="009847F5"/>
    <w:rsid w:val="00985660"/>
    <w:rsid w:val="00985A54"/>
    <w:rsid w:val="009872FE"/>
    <w:rsid w:val="00990606"/>
    <w:rsid w:val="009909E1"/>
    <w:rsid w:val="009925FD"/>
    <w:rsid w:val="0099520C"/>
    <w:rsid w:val="009970E1"/>
    <w:rsid w:val="009A0353"/>
    <w:rsid w:val="009A08C0"/>
    <w:rsid w:val="009A3A5C"/>
    <w:rsid w:val="009A3B5A"/>
    <w:rsid w:val="009A3FB0"/>
    <w:rsid w:val="009A475E"/>
    <w:rsid w:val="009A498C"/>
    <w:rsid w:val="009B0154"/>
    <w:rsid w:val="009B1D09"/>
    <w:rsid w:val="009B1DD7"/>
    <w:rsid w:val="009B4C17"/>
    <w:rsid w:val="009B6051"/>
    <w:rsid w:val="009B6F3E"/>
    <w:rsid w:val="009C00A0"/>
    <w:rsid w:val="009C2D5C"/>
    <w:rsid w:val="009C2FD1"/>
    <w:rsid w:val="009C478C"/>
    <w:rsid w:val="009C4A58"/>
    <w:rsid w:val="009C5507"/>
    <w:rsid w:val="009C5F0B"/>
    <w:rsid w:val="009D062E"/>
    <w:rsid w:val="009D06F3"/>
    <w:rsid w:val="009D3316"/>
    <w:rsid w:val="009D3677"/>
    <w:rsid w:val="009D7F25"/>
    <w:rsid w:val="009E0DE5"/>
    <w:rsid w:val="009E51C3"/>
    <w:rsid w:val="009E69AF"/>
    <w:rsid w:val="009E6D57"/>
    <w:rsid w:val="009E784D"/>
    <w:rsid w:val="009F15F1"/>
    <w:rsid w:val="009F2606"/>
    <w:rsid w:val="00A0018D"/>
    <w:rsid w:val="00A00940"/>
    <w:rsid w:val="00A06692"/>
    <w:rsid w:val="00A06B4C"/>
    <w:rsid w:val="00A06F9B"/>
    <w:rsid w:val="00A07861"/>
    <w:rsid w:val="00A07901"/>
    <w:rsid w:val="00A07F87"/>
    <w:rsid w:val="00A10482"/>
    <w:rsid w:val="00A12DA0"/>
    <w:rsid w:val="00A1315B"/>
    <w:rsid w:val="00A14F57"/>
    <w:rsid w:val="00A15A88"/>
    <w:rsid w:val="00A17D48"/>
    <w:rsid w:val="00A21003"/>
    <w:rsid w:val="00A21F99"/>
    <w:rsid w:val="00A2260C"/>
    <w:rsid w:val="00A227F3"/>
    <w:rsid w:val="00A228F9"/>
    <w:rsid w:val="00A2301B"/>
    <w:rsid w:val="00A23A04"/>
    <w:rsid w:val="00A2482E"/>
    <w:rsid w:val="00A249E9"/>
    <w:rsid w:val="00A2717A"/>
    <w:rsid w:val="00A318B0"/>
    <w:rsid w:val="00A319BA"/>
    <w:rsid w:val="00A34075"/>
    <w:rsid w:val="00A35F7D"/>
    <w:rsid w:val="00A37576"/>
    <w:rsid w:val="00A37B3D"/>
    <w:rsid w:val="00A40C0F"/>
    <w:rsid w:val="00A41736"/>
    <w:rsid w:val="00A41CCD"/>
    <w:rsid w:val="00A44AAD"/>
    <w:rsid w:val="00A45F8A"/>
    <w:rsid w:val="00A504C6"/>
    <w:rsid w:val="00A5079E"/>
    <w:rsid w:val="00A50E5F"/>
    <w:rsid w:val="00A51640"/>
    <w:rsid w:val="00A52779"/>
    <w:rsid w:val="00A53F8C"/>
    <w:rsid w:val="00A54389"/>
    <w:rsid w:val="00A54904"/>
    <w:rsid w:val="00A5548A"/>
    <w:rsid w:val="00A55A1E"/>
    <w:rsid w:val="00A601EA"/>
    <w:rsid w:val="00A60A3C"/>
    <w:rsid w:val="00A60BD8"/>
    <w:rsid w:val="00A6161E"/>
    <w:rsid w:val="00A636F3"/>
    <w:rsid w:val="00A65244"/>
    <w:rsid w:val="00A66DB0"/>
    <w:rsid w:val="00A6765D"/>
    <w:rsid w:val="00A678A0"/>
    <w:rsid w:val="00A701C5"/>
    <w:rsid w:val="00A714C6"/>
    <w:rsid w:val="00A7225D"/>
    <w:rsid w:val="00A74776"/>
    <w:rsid w:val="00A748C9"/>
    <w:rsid w:val="00A76998"/>
    <w:rsid w:val="00A77178"/>
    <w:rsid w:val="00A83CC4"/>
    <w:rsid w:val="00A8477A"/>
    <w:rsid w:val="00A8582C"/>
    <w:rsid w:val="00A86EA8"/>
    <w:rsid w:val="00A87230"/>
    <w:rsid w:val="00A875DF"/>
    <w:rsid w:val="00A87882"/>
    <w:rsid w:val="00A903C5"/>
    <w:rsid w:val="00A90415"/>
    <w:rsid w:val="00A925DE"/>
    <w:rsid w:val="00A9518E"/>
    <w:rsid w:val="00A95479"/>
    <w:rsid w:val="00A9771C"/>
    <w:rsid w:val="00AA05EA"/>
    <w:rsid w:val="00AA5386"/>
    <w:rsid w:val="00AB3390"/>
    <w:rsid w:val="00AB3BFA"/>
    <w:rsid w:val="00AB6311"/>
    <w:rsid w:val="00AB6951"/>
    <w:rsid w:val="00AB7119"/>
    <w:rsid w:val="00AC07E9"/>
    <w:rsid w:val="00AC3312"/>
    <w:rsid w:val="00AC4047"/>
    <w:rsid w:val="00AC5C11"/>
    <w:rsid w:val="00AC7B5E"/>
    <w:rsid w:val="00AC7B8B"/>
    <w:rsid w:val="00AD09FD"/>
    <w:rsid w:val="00AD54EE"/>
    <w:rsid w:val="00AD5A13"/>
    <w:rsid w:val="00AD705B"/>
    <w:rsid w:val="00AD7BBE"/>
    <w:rsid w:val="00AE1F50"/>
    <w:rsid w:val="00AE4097"/>
    <w:rsid w:val="00AE4AAF"/>
    <w:rsid w:val="00AE4F5A"/>
    <w:rsid w:val="00AF29B3"/>
    <w:rsid w:val="00AF2F1F"/>
    <w:rsid w:val="00AF3325"/>
    <w:rsid w:val="00AF3884"/>
    <w:rsid w:val="00AF5B53"/>
    <w:rsid w:val="00AF67AA"/>
    <w:rsid w:val="00AF7EBE"/>
    <w:rsid w:val="00B0071A"/>
    <w:rsid w:val="00B00B04"/>
    <w:rsid w:val="00B04088"/>
    <w:rsid w:val="00B0480D"/>
    <w:rsid w:val="00B04F31"/>
    <w:rsid w:val="00B053B7"/>
    <w:rsid w:val="00B11344"/>
    <w:rsid w:val="00B1171F"/>
    <w:rsid w:val="00B143B0"/>
    <w:rsid w:val="00B143B9"/>
    <w:rsid w:val="00B1466C"/>
    <w:rsid w:val="00B146BC"/>
    <w:rsid w:val="00B1541C"/>
    <w:rsid w:val="00B15717"/>
    <w:rsid w:val="00B16A8A"/>
    <w:rsid w:val="00B17AA8"/>
    <w:rsid w:val="00B22526"/>
    <w:rsid w:val="00B24262"/>
    <w:rsid w:val="00B24875"/>
    <w:rsid w:val="00B254B3"/>
    <w:rsid w:val="00B2613D"/>
    <w:rsid w:val="00B30F21"/>
    <w:rsid w:val="00B3188A"/>
    <w:rsid w:val="00B318BA"/>
    <w:rsid w:val="00B36839"/>
    <w:rsid w:val="00B37FE3"/>
    <w:rsid w:val="00B40DA2"/>
    <w:rsid w:val="00B41514"/>
    <w:rsid w:val="00B42C3D"/>
    <w:rsid w:val="00B4511E"/>
    <w:rsid w:val="00B46AAB"/>
    <w:rsid w:val="00B50025"/>
    <w:rsid w:val="00B52644"/>
    <w:rsid w:val="00B54769"/>
    <w:rsid w:val="00B5605A"/>
    <w:rsid w:val="00B560B0"/>
    <w:rsid w:val="00B5726A"/>
    <w:rsid w:val="00B57CE7"/>
    <w:rsid w:val="00B627DB"/>
    <w:rsid w:val="00B63323"/>
    <w:rsid w:val="00B654AD"/>
    <w:rsid w:val="00B70BFE"/>
    <w:rsid w:val="00B70EC7"/>
    <w:rsid w:val="00B71D47"/>
    <w:rsid w:val="00B71EA1"/>
    <w:rsid w:val="00B732B0"/>
    <w:rsid w:val="00B7496E"/>
    <w:rsid w:val="00B75E28"/>
    <w:rsid w:val="00B762BA"/>
    <w:rsid w:val="00B82130"/>
    <w:rsid w:val="00B84414"/>
    <w:rsid w:val="00B8663B"/>
    <w:rsid w:val="00B86E4B"/>
    <w:rsid w:val="00B87016"/>
    <w:rsid w:val="00B90C9A"/>
    <w:rsid w:val="00B91D50"/>
    <w:rsid w:val="00B924B3"/>
    <w:rsid w:val="00B947B7"/>
    <w:rsid w:val="00B9660A"/>
    <w:rsid w:val="00B969AB"/>
    <w:rsid w:val="00BA12ED"/>
    <w:rsid w:val="00BA265F"/>
    <w:rsid w:val="00BB0C9C"/>
    <w:rsid w:val="00BB1098"/>
    <w:rsid w:val="00BB4EAE"/>
    <w:rsid w:val="00BB614D"/>
    <w:rsid w:val="00BC27F1"/>
    <w:rsid w:val="00BC2A24"/>
    <w:rsid w:val="00BC2F8A"/>
    <w:rsid w:val="00BC45D3"/>
    <w:rsid w:val="00BC4EB9"/>
    <w:rsid w:val="00BC61B1"/>
    <w:rsid w:val="00BC75E1"/>
    <w:rsid w:val="00BC7686"/>
    <w:rsid w:val="00BD11B9"/>
    <w:rsid w:val="00BD2394"/>
    <w:rsid w:val="00BD466D"/>
    <w:rsid w:val="00BD53C1"/>
    <w:rsid w:val="00BE1B1D"/>
    <w:rsid w:val="00BF0525"/>
    <w:rsid w:val="00BF2041"/>
    <w:rsid w:val="00BF38A5"/>
    <w:rsid w:val="00BF49E1"/>
    <w:rsid w:val="00BF5AD8"/>
    <w:rsid w:val="00BF6194"/>
    <w:rsid w:val="00BF71B3"/>
    <w:rsid w:val="00BF7B62"/>
    <w:rsid w:val="00C05BB7"/>
    <w:rsid w:val="00C069F5"/>
    <w:rsid w:val="00C07721"/>
    <w:rsid w:val="00C079CA"/>
    <w:rsid w:val="00C1479B"/>
    <w:rsid w:val="00C20AEE"/>
    <w:rsid w:val="00C21FDD"/>
    <w:rsid w:val="00C22D91"/>
    <w:rsid w:val="00C30114"/>
    <w:rsid w:val="00C30D27"/>
    <w:rsid w:val="00C34248"/>
    <w:rsid w:val="00C34CC6"/>
    <w:rsid w:val="00C37E0F"/>
    <w:rsid w:val="00C40A8B"/>
    <w:rsid w:val="00C4526F"/>
    <w:rsid w:val="00C4626D"/>
    <w:rsid w:val="00C509AA"/>
    <w:rsid w:val="00C519B1"/>
    <w:rsid w:val="00C528D8"/>
    <w:rsid w:val="00C579C1"/>
    <w:rsid w:val="00C57D66"/>
    <w:rsid w:val="00C57ED9"/>
    <w:rsid w:val="00C62606"/>
    <w:rsid w:val="00C640D0"/>
    <w:rsid w:val="00C65C16"/>
    <w:rsid w:val="00C75664"/>
    <w:rsid w:val="00C76081"/>
    <w:rsid w:val="00C76BDA"/>
    <w:rsid w:val="00C76ECE"/>
    <w:rsid w:val="00C77837"/>
    <w:rsid w:val="00C778BE"/>
    <w:rsid w:val="00C77A30"/>
    <w:rsid w:val="00C77A4E"/>
    <w:rsid w:val="00C77F82"/>
    <w:rsid w:val="00C83684"/>
    <w:rsid w:val="00C86761"/>
    <w:rsid w:val="00C86774"/>
    <w:rsid w:val="00C86A42"/>
    <w:rsid w:val="00C878D3"/>
    <w:rsid w:val="00C9094C"/>
    <w:rsid w:val="00C9425B"/>
    <w:rsid w:val="00C95221"/>
    <w:rsid w:val="00C96253"/>
    <w:rsid w:val="00C97066"/>
    <w:rsid w:val="00CA1F06"/>
    <w:rsid w:val="00CA2D09"/>
    <w:rsid w:val="00CA39E2"/>
    <w:rsid w:val="00CA7478"/>
    <w:rsid w:val="00CB08B1"/>
    <w:rsid w:val="00CB270F"/>
    <w:rsid w:val="00CB4631"/>
    <w:rsid w:val="00CB4897"/>
    <w:rsid w:val="00CB5A04"/>
    <w:rsid w:val="00CB71D9"/>
    <w:rsid w:val="00CC0BB7"/>
    <w:rsid w:val="00CC1A8F"/>
    <w:rsid w:val="00CC4689"/>
    <w:rsid w:val="00CC5AB9"/>
    <w:rsid w:val="00CD119B"/>
    <w:rsid w:val="00CD1AFA"/>
    <w:rsid w:val="00CD750D"/>
    <w:rsid w:val="00CD78D0"/>
    <w:rsid w:val="00CE129C"/>
    <w:rsid w:val="00CE1C80"/>
    <w:rsid w:val="00CE3B63"/>
    <w:rsid w:val="00CF06C8"/>
    <w:rsid w:val="00CF16B3"/>
    <w:rsid w:val="00CF5013"/>
    <w:rsid w:val="00CF68AE"/>
    <w:rsid w:val="00D01ACB"/>
    <w:rsid w:val="00D0532F"/>
    <w:rsid w:val="00D07627"/>
    <w:rsid w:val="00D1326A"/>
    <w:rsid w:val="00D13FDD"/>
    <w:rsid w:val="00D14B8B"/>
    <w:rsid w:val="00D15FE8"/>
    <w:rsid w:val="00D22640"/>
    <w:rsid w:val="00D2276A"/>
    <w:rsid w:val="00D236EF"/>
    <w:rsid w:val="00D266EB"/>
    <w:rsid w:val="00D27415"/>
    <w:rsid w:val="00D27BE2"/>
    <w:rsid w:val="00D30900"/>
    <w:rsid w:val="00D3099C"/>
    <w:rsid w:val="00D31A5A"/>
    <w:rsid w:val="00D3251B"/>
    <w:rsid w:val="00D33098"/>
    <w:rsid w:val="00D33566"/>
    <w:rsid w:val="00D34F50"/>
    <w:rsid w:val="00D429BA"/>
    <w:rsid w:val="00D43267"/>
    <w:rsid w:val="00D43B60"/>
    <w:rsid w:val="00D44E34"/>
    <w:rsid w:val="00D463E0"/>
    <w:rsid w:val="00D464C3"/>
    <w:rsid w:val="00D47110"/>
    <w:rsid w:val="00D50617"/>
    <w:rsid w:val="00D5248D"/>
    <w:rsid w:val="00D52FDE"/>
    <w:rsid w:val="00D55C1A"/>
    <w:rsid w:val="00D62E5C"/>
    <w:rsid w:val="00D6376A"/>
    <w:rsid w:val="00D64B98"/>
    <w:rsid w:val="00D66863"/>
    <w:rsid w:val="00D7012E"/>
    <w:rsid w:val="00D70347"/>
    <w:rsid w:val="00D737A6"/>
    <w:rsid w:val="00D76B24"/>
    <w:rsid w:val="00D80D2A"/>
    <w:rsid w:val="00D81B86"/>
    <w:rsid w:val="00D8293A"/>
    <w:rsid w:val="00D841DC"/>
    <w:rsid w:val="00D845C2"/>
    <w:rsid w:val="00D848CE"/>
    <w:rsid w:val="00D8628D"/>
    <w:rsid w:val="00D91695"/>
    <w:rsid w:val="00D92E91"/>
    <w:rsid w:val="00D92F0E"/>
    <w:rsid w:val="00D93615"/>
    <w:rsid w:val="00D93B6F"/>
    <w:rsid w:val="00D93EC7"/>
    <w:rsid w:val="00DA0E9D"/>
    <w:rsid w:val="00DA1714"/>
    <w:rsid w:val="00DA175E"/>
    <w:rsid w:val="00DA1DFF"/>
    <w:rsid w:val="00DA209A"/>
    <w:rsid w:val="00DA2C75"/>
    <w:rsid w:val="00DA4FB3"/>
    <w:rsid w:val="00DA56F9"/>
    <w:rsid w:val="00DA5C25"/>
    <w:rsid w:val="00DB0623"/>
    <w:rsid w:val="00DB15E7"/>
    <w:rsid w:val="00DB21FB"/>
    <w:rsid w:val="00DB2511"/>
    <w:rsid w:val="00DB2761"/>
    <w:rsid w:val="00DB3931"/>
    <w:rsid w:val="00DB44D4"/>
    <w:rsid w:val="00DB4BC4"/>
    <w:rsid w:val="00DC0EED"/>
    <w:rsid w:val="00DC205E"/>
    <w:rsid w:val="00DC228D"/>
    <w:rsid w:val="00DC383E"/>
    <w:rsid w:val="00DC7499"/>
    <w:rsid w:val="00DD1179"/>
    <w:rsid w:val="00DD1999"/>
    <w:rsid w:val="00DD4D17"/>
    <w:rsid w:val="00DE087F"/>
    <w:rsid w:val="00DE09A0"/>
    <w:rsid w:val="00DE39D2"/>
    <w:rsid w:val="00DE3EF5"/>
    <w:rsid w:val="00DE565C"/>
    <w:rsid w:val="00DE6E79"/>
    <w:rsid w:val="00DF2853"/>
    <w:rsid w:val="00DF545A"/>
    <w:rsid w:val="00DF6E48"/>
    <w:rsid w:val="00DF6FE0"/>
    <w:rsid w:val="00E0376C"/>
    <w:rsid w:val="00E069CD"/>
    <w:rsid w:val="00E121A3"/>
    <w:rsid w:val="00E1339C"/>
    <w:rsid w:val="00E1353F"/>
    <w:rsid w:val="00E13E6F"/>
    <w:rsid w:val="00E148C1"/>
    <w:rsid w:val="00E14951"/>
    <w:rsid w:val="00E14D3F"/>
    <w:rsid w:val="00E14DD6"/>
    <w:rsid w:val="00E153B6"/>
    <w:rsid w:val="00E17AD0"/>
    <w:rsid w:val="00E21662"/>
    <w:rsid w:val="00E2188C"/>
    <w:rsid w:val="00E21B67"/>
    <w:rsid w:val="00E22121"/>
    <w:rsid w:val="00E2321E"/>
    <w:rsid w:val="00E23998"/>
    <w:rsid w:val="00E33A67"/>
    <w:rsid w:val="00E346DB"/>
    <w:rsid w:val="00E35713"/>
    <w:rsid w:val="00E35965"/>
    <w:rsid w:val="00E35C0C"/>
    <w:rsid w:val="00E374BC"/>
    <w:rsid w:val="00E40219"/>
    <w:rsid w:val="00E41AF5"/>
    <w:rsid w:val="00E436FF"/>
    <w:rsid w:val="00E446EE"/>
    <w:rsid w:val="00E4497B"/>
    <w:rsid w:val="00E4613F"/>
    <w:rsid w:val="00E51548"/>
    <w:rsid w:val="00E51DBE"/>
    <w:rsid w:val="00E5326C"/>
    <w:rsid w:val="00E53EA1"/>
    <w:rsid w:val="00E54605"/>
    <w:rsid w:val="00E55389"/>
    <w:rsid w:val="00E559D1"/>
    <w:rsid w:val="00E63AA6"/>
    <w:rsid w:val="00E63F12"/>
    <w:rsid w:val="00E67417"/>
    <w:rsid w:val="00E70A9A"/>
    <w:rsid w:val="00E70F30"/>
    <w:rsid w:val="00E7202B"/>
    <w:rsid w:val="00E747E4"/>
    <w:rsid w:val="00E74DF2"/>
    <w:rsid w:val="00E76182"/>
    <w:rsid w:val="00E774C7"/>
    <w:rsid w:val="00E82A83"/>
    <w:rsid w:val="00E8471A"/>
    <w:rsid w:val="00E850B4"/>
    <w:rsid w:val="00E86082"/>
    <w:rsid w:val="00E86BE9"/>
    <w:rsid w:val="00E94534"/>
    <w:rsid w:val="00E9537A"/>
    <w:rsid w:val="00EA016A"/>
    <w:rsid w:val="00EA29F8"/>
    <w:rsid w:val="00EA424C"/>
    <w:rsid w:val="00EA61BF"/>
    <w:rsid w:val="00EA64AA"/>
    <w:rsid w:val="00EA7DBA"/>
    <w:rsid w:val="00EB0999"/>
    <w:rsid w:val="00EB10C5"/>
    <w:rsid w:val="00EB15CA"/>
    <w:rsid w:val="00EB1F42"/>
    <w:rsid w:val="00EB26F6"/>
    <w:rsid w:val="00EB4FBD"/>
    <w:rsid w:val="00EC21E0"/>
    <w:rsid w:val="00EC270C"/>
    <w:rsid w:val="00EC381A"/>
    <w:rsid w:val="00ED2363"/>
    <w:rsid w:val="00ED4BA1"/>
    <w:rsid w:val="00ED4FD9"/>
    <w:rsid w:val="00ED7907"/>
    <w:rsid w:val="00ED7C94"/>
    <w:rsid w:val="00EE0451"/>
    <w:rsid w:val="00EE3716"/>
    <w:rsid w:val="00EE3967"/>
    <w:rsid w:val="00EE466E"/>
    <w:rsid w:val="00EE6BC9"/>
    <w:rsid w:val="00EE72F6"/>
    <w:rsid w:val="00EE73D0"/>
    <w:rsid w:val="00EE79A5"/>
    <w:rsid w:val="00EF084B"/>
    <w:rsid w:val="00EF1E95"/>
    <w:rsid w:val="00EF4DEF"/>
    <w:rsid w:val="00EF6B46"/>
    <w:rsid w:val="00F003C4"/>
    <w:rsid w:val="00F01748"/>
    <w:rsid w:val="00F0327F"/>
    <w:rsid w:val="00F045B7"/>
    <w:rsid w:val="00F0574F"/>
    <w:rsid w:val="00F07548"/>
    <w:rsid w:val="00F109EA"/>
    <w:rsid w:val="00F136E3"/>
    <w:rsid w:val="00F141BB"/>
    <w:rsid w:val="00F1506F"/>
    <w:rsid w:val="00F2030B"/>
    <w:rsid w:val="00F2431D"/>
    <w:rsid w:val="00F245A3"/>
    <w:rsid w:val="00F25480"/>
    <w:rsid w:val="00F25D61"/>
    <w:rsid w:val="00F25E32"/>
    <w:rsid w:val="00F26081"/>
    <w:rsid w:val="00F30840"/>
    <w:rsid w:val="00F31C84"/>
    <w:rsid w:val="00F33382"/>
    <w:rsid w:val="00F346FE"/>
    <w:rsid w:val="00F361F0"/>
    <w:rsid w:val="00F369C7"/>
    <w:rsid w:val="00F36AA0"/>
    <w:rsid w:val="00F3785C"/>
    <w:rsid w:val="00F4076B"/>
    <w:rsid w:val="00F409D6"/>
    <w:rsid w:val="00F4145E"/>
    <w:rsid w:val="00F4151E"/>
    <w:rsid w:val="00F41B07"/>
    <w:rsid w:val="00F44722"/>
    <w:rsid w:val="00F44918"/>
    <w:rsid w:val="00F455E3"/>
    <w:rsid w:val="00F45F2A"/>
    <w:rsid w:val="00F46829"/>
    <w:rsid w:val="00F46A0B"/>
    <w:rsid w:val="00F51169"/>
    <w:rsid w:val="00F518F3"/>
    <w:rsid w:val="00F55E12"/>
    <w:rsid w:val="00F56595"/>
    <w:rsid w:val="00F60DDD"/>
    <w:rsid w:val="00F613E7"/>
    <w:rsid w:val="00F62400"/>
    <w:rsid w:val="00F62D1A"/>
    <w:rsid w:val="00F64126"/>
    <w:rsid w:val="00F6735E"/>
    <w:rsid w:val="00F6736E"/>
    <w:rsid w:val="00F73117"/>
    <w:rsid w:val="00F734EC"/>
    <w:rsid w:val="00F7376C"/>
    <w:rsid w:val="00F74F06"/>
    <w:rsid w:val="00F7544B"/>
    <w:rsid w:val="00F761AA"/>
    <w:rsid w:val="00F76FD2"/>
    <w:rsid w:val="00F80FDC"/>
    <w:rsid w:val="00F8162C"/>
    <w:rsid w:val="00F84639"/>
    <w:rsid w:val="00F84A2F"/>
    <w:rsid w:val="00F84CB7"/>
    <w:rsid w:val="00F85972"/>
    <w:rsid w:val="00F877CF"/>
    <w:rsid w:val="00F91348"/>
    <w:rsid w:val="00F91C25"/>
    <w:rsid w:val="00F939C3"/>
    <w:rsid w:val="00F96EF1"/>
    <w:rsid w:val="00F9731F"/>
    <w:rsid w:val="00F9780F"/>
    <w:rsid w:val="00FA0714"/>
    <w:rsid w:val="00FA0843"/>
    <w:rsid w:val="00FA58B3"/>
    <w:rsid w:val="00FB1492"/>
    <w:rsid w:val="00FB22DC"/>
    <w:rsid w:val="00FB22E9"/>
    <w:rsid w:val="00FB4A53"/>
    <w:rsid w:val="00FC1114"/>
    <w:rsid w:val="00FC2D24"/>
    <w:rsid w:val="00FC701C"/>
    <w:rsid w:val="00FC765A"/>
    <w:rsid w:val="00FD27C7"/>
    <w:rsid w:val="00FD55DB"/>
    <w:rsid w:val="00FD7705"/>
    <w:rsid w:val="00FD7FAC"/>
    <w:rsid w:val="00FE0D7C"/>
    <w:rsid w:val="00FE4B81"/>
    <w:rsid w:val="00FE4DBF"/>
    <w:rsid w:val="00FE7940"/>
    <w:rsid w:val="00FF1704"/>
    <w:rsid w:val="00FF2F43"/>
    <w:rsid w:val="00FF2F48"/>
    <w:rsid w:val="00FF2FEB"/>
    <w:rsid w:val="00FF3A72"/>
    <w:rsid w:val="00FF5867"/>
    <w:rsid w:val="00FF6769"/>
    <w:rsid w:val="00FF6B11"/>
    <w:rsid w:val="00FF6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71D3F"/>
  <w15:chartTrackingRefBased/>
  <w15:docId w15:val="{6D75E4DE-22C0-4FCA-B8DA-311D4A2C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tabs>
        <w:tab w:val="left" w:pos="2408"/>
      </w:tabs>
      <w:spacing w:before="120" w:after="120"/>
      <w:ind w:left="1276"/>
      <w:jc w:val="both"/>
      <w:outlineLvl w:val="0"/>
    </w:pPr>
    <w:rPr>
      <w:rFonts w:ascii="Arial" w:hAnsi="Arial" w:cs="Arial"/>
      <w:sz w:val="24"/>
    </w:rPr>
  </w:style>
  <w:style w:type="paragraph" w:styleId="Ttulo2">
    <w:name w:val="heading 2"/>
    <w:basedOn w:val="Normal"/>
    <w:next w:val="Normal"/>
    <w:qFormat/>
    <w:pPr>
      <w:keepNext/>
      <w:jc w:val="both"/>
      <w:outlineLvl w:val="1"/>
    </w:pPr>
    <w:rPr>
      <w:sz w:val="28"/>
    </w:rPr>
  </w:style>
  <w:style w:type="paragraph" w:styleId="Ttulo3">
    <w:name w:val="heading 3"/>
    <w:basedOn w:val="Normal"/>
    <w:next w:val="Normal"/>
    <w:qFormat/>
    <w:pPr>
      <w:keepNext/>
      <w:widowControl w:val="0"/>
      <w:ind w:left="4536"/>
      <w:jc w:val="center"/>
      <w:outlineLvl w:val="2"/>
    </w:pPr>
    <w:rPr>
      <w:rFonts w:ascii="Arial" w:hAnsi="Arial" w:cs="Arial"/>
      <w:sz w:val="24"/>
    </w:rPr>
  </w:style>
  <w:style w:type="paragraph" w:styleId="Ttulo4">
    <w:name w:val="heading 4"/>
    <w:basedOn w:val="Normal"/>
    <w:next w:val="Normal"/>
    <w:qFormat/>
    <w:pPr>
      <w:keepNext/>
      <w:tabs>
        <w:tab w:val="left" w:pos="2269"/>
        <w:tab w:val="left" w:pos="2977"/>
        <w:tab w:val="left" w:pos="4820"/>
      </w:tabs>
      <w:ind w:left="357"/>
      <w:jc w:val="both"/>
      <w:outlineLvl w:val="3"/>
    </w:pPr>
    <w:rPr>
      <w:rFonts w:ascii="Arial" w:hAnsi="Arial"/>
      <w:bCs/>
      <w:sz w:val="24"/>
      <w:lang w:val="pt-PT"/>
    </w:rPr>
  </w:style>
  <w:style w:type="paragraph" w:styleId="Ttulo5">
    <w:name w:val="heading 5"/>
    <w:basedOn w:val="Normal"/>
    <w:next w:val="Normal"/>
    <w:qFormat/>
    <w:pPr>
      <w:keepNext/>
      <w:tabs>
        <w:tab w:val="left" w:pos="851"/>
      </w:tabs>
      <w:spacing w:before="120" w:after="120"/>
      <w:ind w:left="426"/>
      <w:jc w:val="both"/>
      <w:outlineLvl w:val="4"/>
    </w:pPr>
    <w:rPr>
      <w:rFonts w:ascii="Arial" w:hAnsi="Arial" w:cs="Arial"/>
      <w:sz w:val="24"/>
    </w:rPr>
  </w:style>
  <w:style w:type="paragraph" w:styleId="Ttulo6">
    <w:name w:val="heading 6"/>
    <w:basedOn w:val="Normal"/>
    <w:next w:val="Normal"/>
    <w:qFormat/>
    <w:rsid w:val="001A69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Sumrio1">
    <w:name w:val="toc 1"/>
    <w:basedOn w:val="Normal"/>
    <w:next w:val="Normal"/>
    <w:autoRedefine/>
    <w:semiHidden/>
  </w:style>
  <w:style w:type="paragraph" w:customStyle="1" w:styleId="BNDES">
    <w:name w:val="BNDES"/>
    <w:link w:val="BNDESChar"/>
    <w:qFormat/>
    <w:pPr>
      <w:jc w:val="both"/>
    </w:pPr>
    <w:rPr>
      <w:rFonts w:ascii="Arial" w:hAnsi="Arial"/>
      <w:sz w:val="24"/>
    </w:r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Recuodecorpodetexto2">
    <w:name w:val="Body Text Indent 2"/>
    <w:basedOn w:val="Normal"/>
    <w:pPr>
      <w:tabs>
        <w:tab w:val="left" w:pos="426"/>
        <w:tab w:val="left" w:pos="2977"/>
        <w:tab w:val="left" w:pos="4820"/>
      </w:tabs>
      <w:ind w:left="426" w:hanging="426"/>
      <w:jc w:val="both"/>
    </w:pPr>
    <w:rPr>
      <w:rFonts w:ascii="Arial" w:hAnsi="Arial"/>
      <w:bCs/>
      <w:sz w:val="24"/>
      <w:lang w:val="pt-PT"/>
    </w:rPr>
  </w:style>
  <w:style w:type="paragraph" w:styleId="Recuodecorpodetexto3">
    <w:name w:val="Body Text Indent 3"/>
    <w:basedOn w:val="Normal"/>
    <w:pPr>
      <w:tabs>
        <w:tab w:val="num" w:pos="426"/>
        <w:tab w:val="left" w:pos="1560"/>
        <w:tab w:val="left" w:pos="2552"/>
        <w:tab w:val="left" w:pos="4820"/>
      </w:tabs>
      <w:ind w:left="1559"/>
      <w:jc w:val="both"/>
    </w:pPr>
    <w:rPr>
      <w:rFonts w:ascii="Arial" w:hAnsi="Arial"/>
      <w:bCs/>
      <w:sz w:val="24"/>
      <w:lang w:val="pt-PT"/>
    </w:rPr>
  </w:style>
  <w:style w:type="paragraph" w:styleId="Recuodecorpodetexto">
    <w:name w:val="Body Text Indent"/>
    <w:basedOn w:val="Normal"/>
    <w:pPr>
      <w:spacing w:before="120" w:after="120"/>
      <w:ind w:left="1560"/>
      <w:jc w:val="both"/>
    </w:pPr>
    <w:rPr>
      <w:rFonts w:ascii="Arial" w:hAnsi="Arial" w:cs="Arial"/>
      <w:sz w:val="24"/>
    </w:rPr>
  </w:style>
  <w:style w:type="paragraph" w:customStyle="1" w:styleId="font6">
    <w:name w:val="font6"/>
    <w:basedOn w:val="Normal"/>
    <w:pPr>
      <w:spacing w:before="100" w:beforeAutospacing="1" w:after="100" w:afterAutospacing="1"/>
    </w:pPr>
    <w:rPr>
      <w:rFonts w:ascii="Arial" w:hAnsi="Arial" w:cs="Arial"/>
      <w:b/>
      <w:bCs/>
      <w:sz w:val="24"/>
      <w:szCs w:val="24"/>
    </w:rPr>
  </w:style>
  <w:style w:type="paragraph" w:styleId="Textodebalo">
    <w:name w:val="Balloon Text"/>
    <w:basedOn w:val="Normal"/>
    <w:semiHidden/>
    <w:rsid w:val="00E86BE9"/>
    <w:rPr>
      <w:rFonts w:ascii="Tahoma" w:hAnsi="Tahoma" w:cs="Tahoma"/>
      <w:sz w:val="16"/>
      <w:szCs w:val="16"/>
    </w:rPr>
  </w:style>
  <w:style w:type="character" w:customStyle="1" w:styleId="BNDESChar">
    <w:name w:val="BNDES Char"/>
    <w:link w:val="BNDES"/>
    <w:qFormat/>
    <w:rsid w:val="00795F5D"/>
    <w:rPr>
      <w:rFonts w:ascii="Arial" w:hAnsi="Arial"/>
      <w:sz w:val="24"/>
      <w:lang w:val="pt-BR" w:eastAsia="pt-BR" w:bidi="ar-SA"/>
    </w:rPr>
  </w:style>
  <w:style w:type="paragraph" w:customStyle="1" w:styleId="CharCharCharCharChar">
    <w:name w:val="Char Char Char Char Char"/>
    <w:basedOn w:val="Normal"/>
    <w:rsid w:val="00795F5D"/>
    <w:pPr>
      <w:spacing w:after="160" w:line="240" w:lineRule="exact"/>
    </w:pPr>
    <w:rPr>
      <w:rFonts w:ascii="Verdana" w:eastAsia="MS Mincho" w:hAnsi="Verdana"/>
      <w:lang w:val="en-US" w:eastAsia="en-US"/>
    </w:rPr>
  </w:style>
  <w:style w:type="paragraph" w:customStyle="1" w:styleId="CharChar1">
    <w:name w:val="Char Char1"/>
    <w:basedOn w:val="Normal"/>
    <w:rsid w:val="00DD1179"/>
    <w:pPr>
      <w:spacing w:after="160" w:line="240" w:lineRule="exact"/>
    </w:pPr>
    <w:rPr>
      <w:rFonts w:ascii="Verdana" w:hAnsi="Verdana"/>
      <w:b/>
      <w:lang w:val="en-US" w:eastAsia="en-US"/>
    </w:rPr>
  </w:style>
  <w:style w:type="paragraph" w:customStyle="1" w:styleId="CharChar">
    <w:name w:val="Char Char"/>
    <w:basedOn w:val="Normal"/>
    <w:rsid w:val="001C08E9"/>
    <w:pPr>
      <w:spacing w:after="160" w:line="240" w:lineRule="exact"/>
    </w:pPr>
    <w:rPr>
      <w:rFonts w:ascii="Verdana" w:hAnsi="Verdana"/>
      <w:b/>
      <w:lang w:val="en-US" w:eastAsia="en-US"/>
    </w:rPr>
  </w:style>
  <w:style w:type="paragraph" w:styleId="Corpodetexto">
    <w:name w:val="Body Text"/>
    <w:basedOn w:val="Normal"/>
    <w:rsid w:val="001733C5"/>
    <w:pPr>
      <w:spacing w:after="120"/>
    </w:pPr>
  </w:style>
  <w:style w:type="paragraph" w:styleId="NormalWeb">
    <w:name w:val="Normal (Web)"/>
    <w:basedOn w:val="Normal"/>
    <w:rsid w:val="001A69B7"/>
    <w:pPr>
      <w:spacing w:before="100" w:beforeAutospacing="1" w:after="100" w:afterAutospacing="1"/>
    </w:pPr>
    <w:rPr>
      <w:sz w:val="24"/>
      <w:szCs w:val="24"/>
    </w:rPr>
  </w:style>
  <w:style w:type="paragraph" w:styleId="Textodenotaderodap">
    <w:name w:val="footnote text"/>
    <w:basedOn w:val="Normal"/>
    <w:semiHidden/>
    <w:rsid w:val="008E7E1E"/>
  </w:style>
  <w:style w:type="character" w:styleId="Refdenotaderodap">
    <w:name w:val="footnote reference"/>
    <w:semiHidden/>
    <w:rsid w:val="008E7E1E"/>
    <w:rPr>
      <w:vertAlign w:val="superscript"/>
    </w:rPr>
  </w:style>
  <w:style w:type="paragraph" w:customStyle="1" w:styleId="CharChar1CharCharChar">
    <w:name w:val="Char Char1 Char Char Char"/>
    <w:basedOn w:val="Normal"/>
    <w:rsid w:val="00F939C3"/>
    <w:pPr>
      <w:spacing w:after="160" w:line="240" w:lineRule="exact"/>
    </w:pPr>
    <w:rPr>
      <w:rFonts w:ascii="Verdana" w:hAnsi="Verdana"/>
      <w:b/>
      <w:lang w:val="en-US" w:eastAsia="en-US"/>
    </w:rPr>
  </w:style>
  <w:style w:type="paragraph" w:styleId="MapadoDocumento">
    <w:name w:val="Document Map"/>
    <w:basedOn w:val="Normal"/>
    <w:semiHidden/>
    <w:rsid w:val="00FE7940"/>
    <w:pPr>
      <w:shd w:val="clear" w:color="auto" w:fill="000080"/>
    </w:pPr>
    <w:rPr>
      <w:rFonts w:ascii="Tahoma" w:hAnsi="Tahoma" w:cs="Tahoma"/>
    </w:rPr>
  </w:style>
  <w:style w:type="paragraph" w:customStyle="1" w:styleId="Corpodetexto21">
    <w:name w:val="Corpo de texto 21"/>
    <w:basedOn w:val="Normal"/>
    <w:rsid w:val="006122AA"/>
    <w:pPr>
      <w:ind w:left="284"/>
      <w:jc w:val="both"/>
    </w:pPr>
    <w:rPr>
      <w:rFonts w:ascii="Arial" w:hAnsi="Arial"/>
      <w:sz w:val="24"/>
    </w:rPr>
  </w:style>
  <w:style w:type="character" w:styleId="Hyperlink">
    <w:name w:val="Hyperlink"/>
    <w:rsid w:val="00176B37"/>
    <w:rPr>
      <w:color w:val="0000FF"/>
      <w:u w:val="single"/>
    </w:rPr>
  </w:style>
  <w:style w:type="character" w:customStyle="1" w:styleId="RodapChar">
    <w:name w:val="Rodapé Char"/>
    <w:link w:val="Rodap"/>
    <w:uiPriority w:val="99"/>
    <w:rsid w:val="00E35713"/>
  </w:style>
  <w:style w:type="character" w:styleId="Refdecomentrio">
    <w:name w:val="annotation reference"/>
    <w:uiPriority w:val="99"/>
    <w:semiHidden/>
    <w:unhideWhenUsed/>
    <w:rsid w:val="007F3F82"/>
    <w:rPr>
      <w:sz w:val="16"/>
      <w:szCs w:val="16"/>
    </w:rPr>
  </w:style>
  <w:style w:type="paragraph" w:styleId="Textodecomentrio">
    <w:name w:val="annotation text"/>
    <w:basedOn w:val="Normal"/>
    <w:link w:val="TextodecomentrioChar"/>
    <w:uiPriority w:val="99"/>
    <w:unhideWhenUsed/>
    <w:rsid w:val="007F3F82"/>
  </w:style>
  <w:style w:type="character" w:customStyle="1" w:styleId="TextodecomentrioChar">
    <w:name w:val="Texto de comentário Char"/>
    <w:basedOn w:val="Fontepargpadro"/>
    <w:link w:val="Textodecomentrio"/>
    <w:uiPriority w:val="99"/>
    <w:rsid w:val="007F3F82"/>
  </w:style>
  <w:style w:type="paragraph" w:styleId="Assuntodocomentrio">
    <w:name w:val="annotation subject"/>
    <w:basedOn w:val="Textodecomentrio"/>
    <w:next w:val="Textodecomentrio"/>
    <w:link w:val="AssuntodocomentrioChar"/>
    <w:uiPriority w:val="99"/>
    <w:semiHidden/>
    <w:unhideWhenUsed/>
    <w:rsid w:val="007F3F82"/>
    <w:rPr>
      <w:b/>
      <w:bCs/>
    </w:rPr>
  </w:style>
  <w:style w:type="character" w:customStyle="1" w:styleId="AssuntodocomentrioChar">
    <w:name w:val="Assunto do comentário Char"/>
    <w:link w:val="Assuntodocomentrio"/>
    <w:uiPriority w:val="99"/>
    <w:semiHidden/>
    <w:rsid w:val="007F3F82"/>
    <w:rPr>
      <w:b/>
      <w:bCs/>
    </w:rPr>
  </w:style>
  <w:style w:type="paragraph" w:styleId="PargrafodaLista">
    <w:name w:val="List Paragraph"/>
    <w:aliases w:val="BNDES_PARAGRAFO,Capítulo,Vitor Título,Vitor T’tulo,Bullet List,FooterText,numbered,List Paragraph1,Paragraphe de liste1,Bulletr List Paragraph,列出段落,列出段落1,List Paragraph2,List Paragraph21,Listeafsnit1,Párrafo de lista1,リスト段落1,Bullet li"/>
    <w:basedOn w:val="Normal"/>
    <w:link w:val="PargrafodaListaChar"/>
    <w:uiPriority w:val="34"/>
    <w:qFormat/>
    <w:rsid w:val="00901AF2"/>
    <w:pPr>
      <w:ind w:left="709"/>
    </w:pPr>
  </w:style>
  <w:style w:type="paragraph" w:styleId="Reviso">
    <w:name w:val="Revision"/>
    <w:hidden/>
    <w:uiPriority w:val="99"/>
    <w:semiHidden/>
    <w:rsid w:val="006C512B"/>
  </w:style>
  <w:style w:type="character" w:styleId="Forte">
    <w:name w:val="Strong"/>
    <w:basedOn w:val="Fontepargpadro"/>
    <w:uiPriority w:val="22"/>
    <w:qFormat/>
    <w:rsid w:val="00B87016"/>
    <w:rPr>
      <w:b/>
      <w:bCs/>
    </w:rPr>
  </w:style>
  <w:style w:type="character" w:styleId="MenoPendente">
    <w:name w:val="Unresolved Mention"/>
    <w:basedOn w:val="Fontepargpadro"/>
    <w:uiPriority w:val="99"/>
    <w:semiHidden/>
    <w:unhideWhenUsed/>
    <w:rsid w:val="00FB4A53"/>
    <w:rPr>
      <w:color w:val="605E5C"/>
      <w:shd w:val="clear" w:color="auto" w:fill="E1DFDD"/>
    </w:rPr>
  </w:style>
  <w:style w:type="character" w:customStyle="1" w:styleId="normaltextrun">
    <w:name w:val="normaltextrun"/>
    <w:basedOn w:val="Fontepargpadro"/>
    <w:rsid w:val="00D70347"/>
  </w:style>
  <w:style w:type="character" w:customStyle="1" w:styleId="ui-provider">
    <w:name w:val="ui-provider"/>
    <w:basedOn w:val="Fontepargpadro"/>
    <w:rsid w:val="00395454"/>
  </w:style>
  <w:style w:type="character" w:customStyle="1" w:styleId="PargrafodaListaChar">
    <w:name w:val="Parágrafo da Lista Char"/>
    <w:aliases w:val="BNDES_PARAGRAFO Char,Capítulo Char,Vitor Título Char,Vitor T’tulo Char,Bullet List Char,FooterText Char,numbered Char,List Paragraph1 Char,Paragraphe de liste1 Char,Bulletr List Paragraph Char,列出段落 Char,列出段落1 Char,リスト段落1 Char"/>
    <w:link w:val="PargrafodaLista"/>
    <w:uiPriority w:val="34"/>
    <w:qFormat/>
    <w:rsid w:val="00EC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5673">
      <w:bodyDiv w:val="1"/>
      <w:marLeft w:val="0"/>
      <w:marRight w:val="0"/>
      <w:marTop w:val="0"/>
      <w:marBottom w:val="0"/>
      <w:divBdr>
        <w:top w:val="none" w:sz="0" w:space="0" w:color="auto"/>
        <w:left w:val="none" w:sz="0" w:space="0" w:color="auto"/>
        <w:bottom w:val="none" w:sz="0" w:space="0" w:color="auto"/>
        <w:right w:val="none" w:sz="0" w:space="0" w:color="auto"/>
      </w:divBdr>
    </w:div>
    <w:div w:id="1383363734">
      <w:bodyDiv w:val="1"/>
      <w:marLeft w:val="0"/>
      <w:marRight w:val="0"/>
      <w:marTop w:val="0"/>
      <w:marBottom w:val="0"/>
      <w:divBdr>
        <w:top w:val="none" w:sz="0" w:space="0" w:color="auto"/>
        <w:left w:val="none" w:sz="0" w:space="0" w:color="auto"/>
        <w:bottom w:val="none" w:sz="0" w:space="0" w:color="auto"/>
        <w:right w:val="none" w:sz="0" w:space="0" w:color="auto"/>
      </w:divBdr>
    </w:div>
    <w:div w:id="18329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13AB-F52C-4488-960E-723867D72CE7}">
  <ds:schemaRefs>
    <ds:schemaRef ds:uri="http://schemas.openxmlformats.org/officeDocument/2006/bibliography"/>
  </ds:schemaRefs>
</ds:datastoreItem>
</file>

<file path=docMetadata/LabelInfo.xml><?xml version="1.0" encoding="utf-8"?>
<clbl:labelList xmlns:clbl="http://schemas.microsoft.com/office/2020/mipLabelMetadata">
  <clbl:label id="{a0382c8c-adbe-46e3-9db2-77e073215796}"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5</Pages>
  <Words>1564</Words>
  <Characters>8489</Characters>
  <Application>Microsoft Office Word</Application>
  <DocSecurity>8</DocSecurity>
  <Lines>207</Lines>
  <Paragraphs>88</Paragraphs>
  <ScaleCrop>false</ScaleCrop>
  <HeadingPairs>
    <vt:vector size="2" baseType="variant">
      <vt:variant>
        <vt:lpstr>Título</vt:lpstr>
      </vt:variant>
      <vt:variant>
        <vt:i4>1</vt:i4>
      </vt:variant>
    </vt:vector>
  </HeadingPairs>
  <TitlesOfParts>
    <vt:vector size="1" baseType="lpstr">
      <vt:lpstr>Carta SUP/AOI nº 028/2012, de 13.02.2012</vt:lpstr>
    </vt:vector>
  </TitlesOfParts>
  <Company>BNDES</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SUP/AOI nº 028/2012, de 13.02.2012</dc:title>
  <dc:subject>Programa Fundo Clima</dc:subject>
  <dc:creator>AOI/DERAI</dc:creator>
  <cp:keywords>Programa Fundo Clima</cp:keywords>
  <dc:description>- Subprogramas Modais de Transportes Eficientes, Máquinas e Equipamentos Eficientes e Combate à Desertificação_x000d_
- Produtos BNDES Finame e BNDES Automático</dc:description>
  <cp:lastModifiedBy>Jose Magno de Melo Silva</cp:lastModifiedBy>
  <cp:revision>10</cp:revision>
  <cp:lastPrinted>2025-11-18T17:37:00Z</cp:lastPrinted>
  <dcterms:created xsi:type="dcterms:W3CDTF">2025-11-17T16:28:00Z</dcterms:created>
  <dcterms:modified xsi:type="dcterms:W3CDTF">2025-11-25T13:37:00Z</dcterms:modified>
</cp:coreProperties>
</file>