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8DDF" w14:textId="77777777" w:rsidR="00E505FD" w:rsidRPr="00E505FD" w:rsidRDefault="00E505FD" w:rsidP="00D8653E">
      <w:pPr>
        <w:pStyle w:val="Ttulo3"/>
        <w:spacing w:before="240" w:after="0"/>
        <w:rPr>
          <w:rFonts w:cs="Arial"/>
          <w:bCs/>
          <w:u w:val="none"/>
        </w:rPr>
      </w:pPr>
      <w:r w:rsidRPr="00E505FD">
        <w:rPr>
          <w:rFonts w:cs="Arial"/>
          <w:bCs/>
          <w:u w:val="none"/>
        </w:rPr>
        <w:t>BANCO NACIONAL DE DESENVOLVIMENTO ECONÔMICO E SOCIAL - BNDES</w:t>
      </w:r>
    </w:p>
    <w:p w14:paraId="7B7C7BC0" w14:textId="77777777" w:rsidR="00E505FD" w:rsidRPr="00E505FD" w:rsidRDefault="00E505FD" w:rsidP="00E505FD">
      <w:pPr>
        <w:rPr>
          <w:rFonts w:ascii="Arial" w:hAnsi="Arial" w:cs="Arial"/>
          <w:b/>
        </w:rPr>
      </w:pPr>
    </w:p>
    <w:p w14:paraId="71A4697C" w14:textId="77777777" w:rsidR="00E505FD" w:rsidRPr="00E505FD" w:rsidRDefault="00E505FD" w:rsidP="00E505FD">
      <w:pPr>
        <w:rPr>
          <w:rFonts w:ascii="Arial" w:hAnsi="Arial" w:cs="Arial"/>
          <w:b/>
        </w:rPr>
      </w:pPr>
    </w:p>
    <w:p w14:paraId="4B6FBA40" w14:textId="6F782F61" w:rsidR="00E505FD" w:rsidRDefault="00E505FD" w:rsidP="00E505FD">
      <w:pPr>
        <w:pStyle w:val="Ttulo3"/>
        <w:spacing w:before="0" w:after="0" w:line="240" w:lineRule="auto"/>
        <w:rPr>
          <w:rFonts w:cs="Arial"/>
          <w:bCs/>
          <w:u w:val="none"/>
        </w:rPr>
      </w:pPr>
      <w:r w:rsidRPr="00626915">
        <w:rPr>
          <w:rFonts w:cs="Arial"/>
          <w:bCs/>
          <w:u w:val="none"/>
        </w:rPr>
        <w:t>CIRCULAR SUP/</w:t>
      </w:r>
      <w:r w:rsidR="00B00D83" w:rsidRPr="00626915">
        <w:rPr>
          <w:rFonts w:cs="Arial"/>
          <w:bCs/>
          <w:u w:val="none"/>
        </w:rPr>
        <w:t>ADIG</w:t>
      </w:r>
      <w:r w:rsidRPr="00626915">
        <w:rPr>
          <w:rFonts w:cs="Arial"/>
          <w:bCs/>
          <w:u w:val="none"/>
        </w:rPr>
        <w:t xml:space="preserve"> Nº </w:t>
      </w:r>
      <w:r w:rsidR="00035B7B">
        <w:rPr>
          <w:rFonts w:cs="Arial"/>
          <w:bCs/>
          <w:u w:val="none"/>
        </w:rPr>
        <w:t>79</w:t>
      </w:r>
      <w:r w:rsidR="00B00D83" w:rsidRPr="00626915">
        <w:rPr>
          <w:rFonts w:cs="Arial"/>
          <w:bCs/>
          <w:u w:val="none"/>
        </w:rPr>
        <w:t>/</w:t>
      </w:r>
      <w:r w:rsidRPr="00626915">
        <w:rPr>
          <w:rFonts w:cs="Arial"/>
          <w:bCs/>
          <w:u w:val="none"/>
        </w:rPr>
        <w:t>20</w:t>
      </w:r>
      <w:r w:rsidR="00B00D83" w:rsidRPr="00626915">
        <w:rPr>
          <w:rFonts w:cs="Arial"/>
          <w:bCs/>
          <w:u w:val="none"/>
        </w:rPr>
        <w:t>2</w:t>
      </w:r>
      <w:r w:rsidR="00F2302B">
        <w:rPr>
          <w:rFonts w:cs="Arial"/>
          <w:bCs/>
          <w:u w:val="none"/>
        </w:rPr>
        <w:t>5</w:t>
      </w:r>
      <w:r w:rsidRPr="00626915">
        <w:rPr>
          <w:rFonts w:cs="Arial"/>
          <w:bCs/>
          <w:u w:val="none"/>
        </w:rPr>
        <w:t xml:space="preserve">-BNDES, DE </w:t>
      </w:r>
      <w:r w:rsidR="00035B7B">
        <w:rPr>
          <w:rFonts w:cs="Arial"/>
          <w:bCs/>
          <w:u w:val="none"/>
        </w:rPr>
        <w:t>1</w:t>
      </w:r>
      <w:r w:rsidR="00CA59DB">
        <w:rPr>
          <w:rFonts w:cs="Arial"/>
          <w:bCs/>
          <w:u w:val="none"/>
        </w:rPr>
        <w:t>7</w:t>
      </w:r>
      <w:r w:rsidR="00F2302B" w:rsidRPr="00626915">
        <w:rPr>
          <w:rFonts w:cs="Arial"/>
          <w:bCs/>
          <w:u w:val="none"/>
        </w:rPr>
        <w:t xml:space="preserve"> </w:t>
      </w:r>
      <w:r w:rsidRPr="00626915">
        <w:rPr>
          <w:rFonts w:cs="Arial"/>
          <w:bCs/>
          <w:u w:val="none"/>
        </w:rPr>
        <w:t xml:space="preserve">DE </w:t>
      </w:r>
      <w:r w:rsidR="00035B7B">
        <w:rPr>
          <w:rFonts w:cs="Arial"/>
          <w:bCs/>
          <w:u w:val="none"/>
        </w:rPr>
        <w:t>JULHO</w:t>
      </w:r>
      <w:r w:rsidR="00F2302B" w:rsidRPr="00626915">
        <w:rPr>
          <w:rFonts w:cs="Arial"/>
          <w:bCs/>
          <w:u w:val="none"/>
        </w:rPr>
        <w:t xml:space="preserve"> </w:t>
      </w:r>
      <w:r w:rsidRPr="00626915">
        <w:rPr>
          <w:rFonts w:cs="Arial"/>
          <w:bCs/>
          <w:u w:val="none"/>
        </w:rPr>
        <w:t>DE 20</w:t>
      </w:r>
      <w:r w:rsidR="00B00D83" w:rsidRPr="00626915">
        <w:rPr>
          <w:rFonts w:cs="Arial"/>
          <w:bCs/>
          <w:u w:val="none"/>
        </w:rPr>
        <w:t>2</w:t>
      </w:r>
      <w:r w:rsidR="00F2302B">
        <w:rPr>
          <w:rFonts w:cs="Arial"/>
          <w:bCs/>
          <w:u w:val="none"/>
        </w:rPr>
        <w:t>5</w:t>
      </w:r>
      <w:r w:rsidRPr="00626915">
        <w:rPr>
          <w:rFonts w:cs="Arial"/>
          <w:bCs/>
          <w:u w:val="none"/>
        </w:rPr>
        <w:t>.</w:t>
      </w:r>
    </w:p>
    <w:p w14:paraId="1848FB00" w14:textId="77777777" w:rsidR="00E505FD" w:rsidRDefault="00E505FD" w:rsidP="00E505FD">
      <w:pPr>
        <w:rPr>
          <w:rFonts w:ascii="Arial" w:hAnsi="Arial" w:cs="Arial"/>
        </w:rPr>
      </w:pPr>
    </w:p>
    <w:p w14:paraId="42D1E8FF" w14:textId="77777777" w:rsidR="00B00D83" w:rsidRPr="001A2516" w:rsidRDefault="00B00D83" w:rsidP="00E505FD">
      <w:pPr>
        <w:rPr>
          <w:rFonts w:ascii="Arial" w:hAnsi="Arial" w:cs="Arial"/>
        </w:rPr>
      </w:pPr>
    </w:p>
    <w:p w14:paraId="09E448BF" w14:textId="77777777" w:rsidR="00E505FD" w:rsidRPr="00E505FD" w:rsidRDefault="00E505FD" w:rsidP="00E505FD">
      <w:pPr>
        <w:pStyle w:val="BNDES"/>
        <w:ind w:left="5670"/>
        <w:rPr>
          <w:rFonts w:ascii="Arial" w:hAnsi="Arial" w:cs="Arial"/>
          <w:iCs/>
        </w:rPr>
      </w:pPr>
      <w:r w:rsidRPr="00E505FD">
        <w:rPr>
          <w:rFonts w:ascii="Arial" w:hAnsi="Arial" w:cs="Arial"/>
        </w:rPr>
        <w:t xml:space="preserve">Normas Reguladoras do Produto BNDES </w:t>
      </w:r>
      <w:r>
        <w:rPr>
          <w:rFonts w:ascii="Arial" w:hAnsi="Arial" w:cs="Arial"/>
        </w:rPr>
        <w:t>Microcrédito</w:t>
      </w:r>
      <w:r w:rsidR="009F76BF">
        <w:rPr>
          <w:rFonts w:ascii="Arial" w:hAnsi="Arial" w:cs="Arial"/>
        </w:rPr>
        <w:t xml:space="preserve"> – Modalidade Agentes Financeiros</w:t>
      </w:r>
      <w:r w:rsidRPr="00E505FD">
        <w:rPr>
          <w:rFonts w:ascii="Arial" w:hAnsi="Arial" w:cs="Arial"/>
        </w:rPr>
        <w:t>.</w:t>
      </w:r>
    </w:p>
    <w:p w14:paraId="15C76D27" w14:textId="77777777" w:rsidR="00001DCB" w:rsidRPr="00E505FD" w:rsidRDefault="00001DCB" w:rsidP="00001DCB">
      <w:pPr>
        <w:pStyle w:val="BNDES"/>
        <w:rPr>
          <w:rFonts w:ascii="Arial" w:hAnsi="Arial" w:cs="Arial"/>
        </w:rPr>
      </w:pPr>
    </w:p>
    <w:p w14:paraId="1EB339A0" w14:textId="77777777" w:rsidR="00001DCB" w:rsidRPr="007B68EC" w:rsidRDefault="00001DCB" w:rsidP="00001DCB">
      <w:pPr>
        <w:pStyle w:val="BNDES"/>
        <w:rPr>
          <w:rFonts w:ascii="Arial" w:hAnsi="Arial" w:cs="Arial"/>
        </w:rPr>
      </w:pPr>
    </w:p>
    <w:p w14:paraId="5CB67B67" w14:textId="2DE8E1FA" w:rsidR="00001DCB" w:rsidRDefault="00E505FD" w:rsidP="00734257">
      <w:pPr>
        <w:pStyle w:val="BNDES"/>
        <w:rPr>
          <w:rFonts w:ascii="Arial" w:hAnsi="Arial" w:cs="Arial"/>
        </w:rPr>
      </w:pPr>
      <w:r w:rsidRPr="00E505FD">
        <w:rPr>
          <w:rFonts w:ascii="Arial" w:hAnsi="Arial" w:cs="Arial"/>
        </w:rPr>
        <w:t>O Superintendente da Área</w:t>
      </w:r>
      <w:r w:rsidR="000800A7">
        <w:rPr>
          <w:rFonts w:ascii="Arial" w:hAnsi="Arial" w:cs="Arial"/>
        </w:rPr>
        <w:t xml:space="preserve"> </w:t>
      </w:r>
      <w:r w:rsidR="000800A7" w:rsidRPr="000800A7">
        <w:rPr>
          <w:rFonts w:ascii="Arial" w:hAnsi="Arial" w:cs="Arial"/>
        </w:rPr>
        <w:t>de Operações e Canais Digitais</w:t>
      </w:r>
      <w:r w:rsidR="009F76BF">
        <w:rPr>
          <w:rFonts w:ascii="Arial" w:hAnsi="Arial" w:cs="Arial"/>
        </w:rPr>
        <w:t xml:space="preserve"> - ADIG</w:t>
      </w:r>
      <w:r w:rsidRPr="00E505FD">
        <w:rPr>
          <w:rFonts w:ascii="Arial" w:hAnsi="Arial" w:cs="Arial"/>
        </w:rPr>
        <w:t xml:space="preserve">, tendo em vista o disposto nas Políticas Operacionais do BNDES, consoante Resoluções da Diretoria </w:t>
      </w:r>
      <w:r w:rsidR="009F76BF">
        <w:rPr>
          <w:rFonts w:ascii="Arial" w:hAnsi="Arial" w:cs="Arial"/>
        </w:rPr>
        <w:t xml:space="preserve">Executiva </w:t>
      </w:r>
      <w:r w:rsidRPr="00E505FD">
        <w:rPr>
          <w:rFonts w:ascii="Arial" w:hAnsi="Arial" w:cs="Arial"/>
        </w:rPr>
        <w:t xml:space="preserve">do BNDES e no uso de suas atribuições, COMUNICA às INSTITUIÇÕES FINANCEIRAS CREDENCIADAS os critérios, condições e procedimentos operacionais a serem observados nos financiamentos concedidos no âmbito do </w:t>
      </w:r>
      <w:r w:rsidRPr="00626915">
        <w:rPr>
          <w:rFonts w:ascii="Arial" w:hAnsi="Arial" w:cs="Arial"/>
          <w:b/>
        </w:rPr>
        <w:t>Produto BNDES Microcrédito</w:t>
      </w:r>
      <w:r w:rsidR="004D1A07">
        <w:rPr>
          <w:rFonts w:ascii="Arial" w:hAnsi="Arial" w:cs="Arial"/>
          <w:b/>
        </w:rPr>
        <w:t>, Linhas Microcrédito Produtivo Orientado e Mais Microcrédito,</w:t>
      </w:r>
      <w:r w:rsidRPr="00626915">
        <w:rPr>
          <w:rFonts w:ascii="Arial" w:hAnsi="Arial" w:cs="Arial"/>
          <w:b/>
        </w:rPr>
        <w:t xml:space="preserve"> Modalidade Agentes Financeiros</w:t>
      </w:r>
      <w:r w:rsidRPr="00E505FD">
        <w:rPr>
          <w:rFonts w:ascii="Arial" w:hAnsi="Arial" w:cs="Arial"/>
        </w:rPr>
        <w:t>, conforme estabelecido a seguir.</w:t>
      </w:r>
    </w:p>
    <w:p w14:paraId="5FA8F4CF" w14:textId="77777777" w:rsidR="00194A50" w:rsidRPr="007439D6" w:rsidRDefault="00F67DE7" w:rsidP="00F43BE5">
      <w:pPr>
        <w:pStyle w:val="Corpodetexto"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b/>
        </w:rPr>
      </w:pPr>
      <w:r w:rsidRPr="007439D6">
        <w:rPr>
          <w:rFonts w:cs="Arial"/>
          <w:b/>
        </w:rPr>
        <w:t>OBJETIVO</w:t>
      </w:r>
    </w:p>
    <w:p w14:paraId="6FC49398" w14:textId="5B60D5F9" w:rsidR="0054667D" w:rsidRPr="007439D6" w:rsidRDefault="00194A50" w:rsidP="00FC0AB3">
      <w:pPr>
        <w:pStyle w:val="Corpodetexto"/>
        <w:spacing w:before="120" w:after="120" w:line="240" w:lineRule="auto"/>
        <w:ind w:left="567"/>
        <w:rPr>
          <w:rFonts w:cs="Arial"/>
        </w:rPr>
      </w:pPr>
      <w:r w:rsidRPr="007439D6">
        <w:rPr>
          <w:rFonts w:cs="Arial"/>
        </w:rPr>
        <w:t xml:space="preserve">Apoiar o </w:t>
      </w:r>
      <w:r w:rsidR="0052739D">
        <w:rPr>
          <w:rFonts w:cs="Arial"/>
        </w:rPr>
        <w:t>microempreendedor</w:t>
      </w:r>
      <w:r w:rsidR="0052739D" w:rsidRPr="0052739D">
        <w:rPr>
          <w:rFonts w:cs="Arial"/>
        </w:rPr>
        <w:t xml:space="preserve"> de modo a</w:t>
      </w:r>
      <w:r w:rsidRPr="007439D6">
        <w:rPr>
          <w:rFonts w:cs="Arial"/>
        </w:rPr>
        <w:t xml:space="preserve"> promover a economia popular, visando a incentivar a geração de trabalho e renda, inclusão social, complementação de políticas sociais e/ou promoção do desenvolvimento local.</w:t>
      </w:r>
    </w:p>
    <w:p w14:paraId="635F2BB9" w14:textId="77777777" w:rsidR="007A3894" w:rsidRDefault="007A3894" w:rsidP="00F43BE5">
      <w:pPr>
        <w:pStyle w:val="Corpodetexto"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b/>
        </w:rPr>
      </w:pPr>
      <w:r>
        <w:rPr>
          <w:rFonts w:cs="Arial"/>
          <w:b/>
        </w:rPr>
        <w:t>CLIENTES</w:t>
      </w:r>
    </w:p>
    <w:p w14:paraId="551D3BA3" w14:textId="470E10BE" w:rsidR="007A3894" w:rsidRPr="00734DA8" w:rsidRDefault="0089620E" w:rsidP="00734DA8">
      <w:pPr>
        <w:pStyle w:val="Corpodetexto"/>
        <w:spacing w:before="120" w:after="120" w:line="240" w:lineRule="auto"/>
        <w:ind w:left="567"/>
        <w:rPr>
          <w:rFonts w:cs="Arial"/>
        </w:rPr>
      </w:pPr>
      <w:r w:rsidRPr="00EF589E">
        <w:rPr>
          <w:rFonts w:cs="Arial"/>
        </w:rPr>
        <w:t xml:space="preserve">Instituições Financeiras </w:t>
      </w:r>
      <w:r w:rsidR="003A0370">
        <w:rPr>
          <w:rFonts w:cs="Arial"/>
        </w:rPr>
        <w:t>C</w:t>
      </w:r>
      <w:r w:rsidRPr="00EF589E">
        <w:rPr>
          <w:rFonts w:cs="Arial"/>
        </w:rPr>
        <w:t xml:space="preserve">redenciadas no BNDES </w:t>
      </w:r>
      <w:r w:rsidRPr="004A6DF2">
        <w:rPr>
          <w:rFonts w:cs="Arial"/>
        </w:rPr>
        <w:t>que dispõem de limite de crédito para realizar operações nos Produtos, Linhas e Programas deste Banco</w:t>
      </w:r>
      <w:r w:rsidR="007A3894" w:rsidRPr="00734DA8">
        <w:rPr>
          <w:rFonts w:cs="Arial"/>
        </w:rPr>
        <w:t>.</w:t>
      </w:r>
    </w:p>
    <w:p w14:paraId="44E4AFCA" w14:textId="12E433FE" w:rsidR="00194A50" w:rsidRPr="007439D6" w:rsidRDefault="004D645E" w:rsidP="00F43BE5">
      <w:pPr>
        <w:pStyle w:val="Corpodetexto"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b/>
        </w:rPr>
      </w:pPr>
      <w:r>
        <w:rPr>
          <w:rFonts w:cs="Arial"/>
          <w:b/>
        </w:rPr>
        <w:t>ATIVIDADES/</w:t>
      </w:r>
      <w:r w:rsidR="004F6E45" w:rsidRPr="007439D6">
        <w:rPr>
          <w:rFonts w:cs="Arial"/>
          <w:b/>
        </w:rPr>
        <w:t>EMPREENDIMENTO</w:t>
      </w:r>
      <w:r w:rsidR="00A273F0">
        <w:rPr>
          <w:rFonts w:cs="Arial"/>
          <w:b/>
        </w:rPr>
        <w:t>S</w:t>
      </w:r>
      <w:r w:rsidR="004F6E45" w:rsidRPr="007439D6">
        <w:rPr>
          <w:rFonts w:cs="Arial"/>
          <w:b/>
        </w:rPr>
        <w:t xml:space="preserve"> APOIÁVE</w:t>
      </w:r>
      <w:r w:rsidR="00A273F0">
        <w:rPr>
          <w:rFonts w:cs="Arial"/>
          <w:b/>
        </w:rPr>
        <w:t>IS</w:t>
      </w:r>
    </w:p>
    <w:p w14:paraId="1438ADBB" w14:textId="10FAB481" w:rsidR="00194A50" w:rsidRPr="00C60408" w:rsidRDefault="00194A50" w:rsidP="00FC0AB3">
      <w:pPr>
        <w:pStyle w:val="Corpodetexto"/>
        <w:spacing w:before="120" w:after="120" w:line="240" w:lineRule="auto"/>
        <w:ind w:left="567"/>
        <w:rPr>
          <w:rFonts w:cs="Arial"/>
        </w:rPr>
      </w:pPr>
      <w:r w:rsidRPr="00C60408">
        <w:rPr>
          <w:rFonts w:cs="Arial"/>
        </w:rPr>
        <w:t>Microempreendimentos formais e informais, por meio da aplicação de recursos em operações de microcrédito.</w:t>
      </w:r>
    </w:p>
    <w:p w14:paraId="5D6D8E23" w14:textId="77777777" w:rsidR="00941509" w:rsidRDefault="00941509" w:rsidP="00F43BE5">
      <w:pPr>
        <w:pStyle w:val="Corpodetexto"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b/>
        </w:rPr>
      </w:pPr>
      <w:r>
        <w:rPr>
          <w:rFonts w:cs="Arial"/>
          <w:b/>
        </w:rPr>
        <w:t>ATIVIDADES NÃO APOIÁVEIS</w:t>
      </w:r>
    </w:p>
    <w:p w14:paraId="4EF2BF30" w14:textId="1E2E7824" w:rsidR="00941509" w:rsidRPr="009E483F" w:rsidRDefault="00941509" w:rsidP="00BA209E">
      <w:pPr>
        <w:pStyle w:val="BNDES"/>
        <w:numPr>
          <w:ilvl w:val="1"/>
          <w:numId w:val="2"/>
        </w:numPr>
        <w:tabs>
          <w:tab w:val="num" w:pos="1276"/>
        </w:tabs>
        <w:spacing w:before="120" w:after="120"/>
        <w:ind w:left="1276" w:hanging="709"/>
        <w:rPr>
          <w:rFonts w:ascii="Arial" w:hAnsi="Arial" w:cs="Arial"/>
          <w:bCs/>
        </w:rPr>
      </w:pPr>
      <w:r w:rsidRPr="009E483F">
        <w:rPr>
          <w:rFonts w:ascii="Arial" w:hAnsi="Arial" w:cs="Arial"/>
          <w:bCs/>
        </w:rPr>
        <w:t>Comércio varejista de armas e munições (CNAE 4789-0/09).</w:t>
      </w:r>
    </w:p>
    <w:p w14:paraId="519D728C" w14:textId="77777777" w:rsidR="00941509" w:rsidRPr="009E483F" w:rsidRDefault="00941509" w:rsidP="00BA209E">
      <w:pPr>
        <w:pStyle w:val="BNDES"/>
        <w:numPr>
          <w:ilvl w:val="1"/>
          <w:numId w:val="2"/>
        </w:numPr>
        <w:tabs>
          <w:tab w:val="num" w:pos="1276"/>
        </w:tabs>
        <w:spacing w:before="120" w:after="120"/>
        <w:ind w:left="1276" w:hanging="709"/>
        <w:rPr>
          <w:rFonts w:ascii="Arial" w:hAnsi="Arial" w:cs="Arial"/>
          <w:bCs/>
        </w:rPr>
      </w:pPr>
      <w:r w:rsidRPr="009E483F">
        <w:rPr>
          <w:rFonts w:ascii="Arial" w:hAnsi="Arial" w:cs="Arial"/>
          <w:bCs/>
        </w:rPr>
        <w:t>Motéis (CNAE 5510-8/03).</w:t>
      </w:r>
    </w:p>
    <w:p w14:paraId="20404418" w14:textId="77777777" w:rsidR="00941509" w:rsidRPr="009E483F" w:rsidRDefault="00941509" w:rsidP="00BA209E">
      <w:pPr>
        <w:pStyle w:val="BNDES"/>
        <w:numPr>
          <w:ilvl w:val="1"/>
          <w:numId w:val="2"/>
        </w:numPr>
        <w:tabs>
          <w:tab w:val="num" w:pos="1276"/>
        </w:tabs>
        <w:spacing w:before="120" w:after="120"/>
        <w:ind w:left="1276" w:hanging="709"/>
        <w:rPr>
          <w:rFonts w:ascii="Arial" w:hAnsi="Arial" w:cs="Arial"/>
          <w:bCs/>
        </w:rPr>
      </w:pPr>
      <w:r w:rsidRPr="009E483F">
        <w:rPr>
          <w:rFonts w:ascii="Arial" w:hAnsi="Arial" w:cs="Arial"/>
          <w:bCs/>
        </w:rPr>
        <w:t>Saunas e termas (CNAE 9609-2/05).</w:t>
      </w:r>
    </w:p>
    <w:p w14:paraId="5C812163" w14:textId="77777777" w:rsidR="00941509" w:rsidRPr="009E483F" w:rsidRDefault="00941509" w:rsidP="00BA209E">
      <w:pPr>
        <w:pStyle w:val="BNDES"/>
        <w:numPr>
          <w:ilvl w:val="1"/>
          <w:numId w:val="2"/>
        </w:numPr>
        <w:tabs>
          <w:tab w:val="num" w:pos="1276"/>
        </w:tabs>
        <w:spacing w:before="120" w:after="120"/>
        <w:ind w:left="1276" w:hanging="709"/>
        <w:rPr>
          <w:rFonts w:ascii="Arial" w:hAnsi="Arial" w:cs="Arial"/>
          <w:bCs/>
        </w:rPr>
      </w:pPr>
      <w:r w:rsidRPr="009E483F">
        <w:rPr>
          <w:rFonts w:ascii="Arial" w:hAnsi="Arial" w:cs="Arial"/>
          <w:bCs/>
        </w:rPr>
        <w:t>Exploração de jogos de azar e apostas (CNAE 92).</w:t>
      </w:r>
    </w:p>
    <w:p w14:paraId="60EAB68B" w14:textId="77777777" w:rsidR="00941509" w:rsidRPr="009E483F" w:rsidRDefault="00941509" w:rsidP="00BA209E">
      <w:pPr>
        <w:pStyle w:val="BNDES"/>
        <w:numPr>
          <w:ilvl w:val="1"/>
          <w:numId w:val="2"/>
        </w:numPr>
        <w:tabs>
          <w:tab w:val="num" w:pos="1276"/>
        </w:tabs>
        <w:spacing w:before="120" w:after="120"/>
        <w:ind w:left="1276" w:hanging="709"/>
        <w:rPr>
          <w:rFonts w:ascii="Arial" w:hAnsi="Arial" w:cs="Arial"/>
          <w:bCs/>
        </w:rPr>
      </w:pPr>
      <w:r w:rsidRPr="009E483F">
        <w:rPr>
          <w:rFonts w:ascii="Arial" w:hAnsi="Arial" w:cs="Arial"/>
          <w:bCs/>
        </w:rPr>
        <w:t>Extração e beneficiamento de amianto (CNAE 0899-1/03).</w:t>
      </w:r>
    </w:p>
    <w:p w14:paraId="2769DBB2" w14:textId="62334FE2" w:rsidR="00EB63B9" w:rsidRPr="00661514" w:rsidRDefault="00EB63B9" w:rsidP="00BA209E">
      <w:pPr>
        <w:pStyle w:val="BNDES"/>
        <w:numPr>
          <w:ilvl w:val="1"/>
          <w:numId w:val="2"/>
        </w:numPr>
        <w:tabs>
          <w:tab w:val="num" w:pos="1276"/>
        </w:tabs>
        <w:spacing w:before="120" w:after="120"/>
        <w:ind w:left="1276" w:hanging="709"/>
        <w:rPr>
          <w:rFonts w:ascii="Arial" w:hAnsi="Arial" w:cs="Arial"/>
          <w:bCs/>
        </w:rPr>
      </w:pPr>
      <w:r w:rsidRPr="00277DCD">
        <w:rPr>
          <w:rFonts w:ascii="Arial" w:hAnsi="Arial" w:cs="Arial"/>
          <w:bCs/>
        </w:rPr>
        <w:t>Clubes (CNAE 9312-3/00).</w:t>
      </w:r>
    </w:p>
    <w:p w14:paraId="466FECC6" w14:textId="00D9CEAB" w:rsidR="00661514" w:rsidRDefault="00661514" w:rsidP="00BA209E">
      <w:pPr>
        <w:pStyle w:val="BNDES"/>
        <w:numPr>
          <w:ilvl w:val="1"/>
          <w:numId w:val="2"/>
        </w:numPr>
        <w:tabs>
          <w:tab w:val="num" w:pos="1276"/>
        </w:tabs>
        <w:spacing w:before="120" w:after="120"/>
        <w:ind w:left="1276" w:hanging="709"/>
        <w:rPr>
          <w:rFonts w:ascii="Arial" w:hAnsi="Arial" w:cs="Arial"/>
          <w:bCs/>
        </w:rPr>
      </w:pPr>
      <w:r w:rsidRPr="00661514">
        <w:rPr>
          <w:rFonts w:ascii="Arial" w:hAnsi="Arial" w:cs="Arial"/>
          <w:bCs/>
        </w:rPr>
        <w:t>Atividades que incorporem lavra rudimentar ou garimpo.</w:t>
      </w:r>
    </w:p>
    <w:p w14:paraId="38F1A26C" w14:textId="77777777" w:rsidR="0040794A" w:rsidRPr="009E483F" w:rsidRDefault="0040794A" w:rsidP="0040794A">
      <w:pPr>
        <w:pStyle w:val="BNDES"/>
        <w:tabs>
          <w:tab w:val="num" w:pos="1134"/>
        </w:tabs>
        <w:spacing w:before="120" w:after="120"/>
        <w:ind w:left="1134"/>
        <w:rPr>
          <w:rFonts w:ascii="Arial" w:hAnsi="Arial" w:cs="Arial"/>
          <w:bCs/>
        </w:rPr>
      </w:pPr>
    </w:p>
    <w:p w14:paraId="231E1668" w14:textId="77777777" w:rsidR="00194A50" w:rsidRPr="007439D6" w:rsidRDefault="004F6E45" w:rsidP="00D577CD">
      <w:pPr>
        <w:pStyle w:val="Corpodetexto"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b/>
        </w:rPr>
      </w:pPr>
      <w:r w:rsidRPr="007439D6">
        <w:rPr>
          <w:rFonts w:cs="Arial"/>
          <w:b/>
        </w:rPr>
        <w:lastRenderedPageBreak/>
        <w:t>ITE</w:t>
      </w:r>
      <w:r w:rsidR="00B31B64">
        <w:rPr>
          <w:rFonts w:cs="Arial"/>
          <w:b/>
        </w:rPr>
        <w:t>NS</w:t>
      </w:r>
      <w:r w:rsidRPr="007439D6">
        <w:rPr>
          <w:rFonts w:cs="Arial"/>
          <w:b/>
        </w:rPr>
        <w:t xml:space="preserve"> </w:t>
      </w:r>
      <w:r w:rsidR="00B31B64">
        <w:rPr>
          <w:rFonts w:cs="Arial"/>
          <w:b/>
        </w:rPr>
        <w:t>APOIÁVEIS</w:t>
      </w:r>
    </w:p>
    <w:p w14:paraId="544E45FB" w14:textId="50656D4C" w:rsidR="00194A50" w:rsidRDefault="00194A50" w:rsidP="00FC0AB3">
      <w:pPr>
        <w:pStyle w:val="Corpodetexto"/>
        <w:spacing w:before="120" w:after="120" w:line="240" w:lineRule="auto"/>
        <w:ind w:left="567"/>
        <w:rPr>
          <w:rFonts w:cs="Arial"/>
        </w:rPr>
      </w:pPr>
      <w:r w:rsidRPr="00C60408">
        <w:rPr>
          <w:rFonts w:cs="Arial"/>
        </w:rPr>
        <w:t>Recursos fi</w:t>
      </w:r>
      <w:r w:rsidR="00C60408" w:rsidRPr="00C60408">
        <w:rPr>
          <w:rFonts w:cs="Arial"/>
        </w:rPr>
        <w:t xml:space="preserve">nanceiros disponibilizados </w:t>
      </w:r>
      <w:r w:rsidR="0006271C">
        <w:rPr>
          <w:rFonts w:cs="Arial"/>
        </w:rPr>
        <w:t>às Instituições Financeiras Credenciadas</w:t>
      </w:r>
      <w:r w:rsidRPr="00C60408">
        <w:rPr>
          <w:rFonts w:cs="Arial"/>
        </w:rPr>
        <w:t xml:space="preserve"> para serem aplicados em operações de microcrédito.</w:t>
      </w:r>
    </w:p>
    <w:p w14:paraId="7C089974" w14:textId="77777777" w:rsidR="0040794A" w:rsidRPr="007439D6" w:rsidRDefault="0040794A" w:rsidP="0040794A">
      <w:pPr>
        <w:pStyle w:val="Corpodetexto"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b/>
        </w:rPr>
      </w:pPr>
      <w:r>
        <w:rPr>
          <w:rFonts w:cs="Arial"/>
          <w:b/>
        </w:rPr>
        <w:t>MICROEMPREENDEDORES</w:t>
      </w:r>
    </w:p>
    <w:p w14:paraId="70F3F0D2" w14:textId="77777777" w:rsidR="0040794A" w:rsidRDefault="0040794A" w:rsidP="0040794A">
      <w:pPr>
        <w:pStyle w:val="Corpodetexto"/>
        <w:spacing w:before="120" w:after="120" w:line="240" w:lineRule="auto"/>
        <w:ind w:left="567"/>
        <w:rPr>
          <w:rFonts w:cs="Arial"/>
        </w:rPr>
      </w:pPr>
      <w:r w:rsidRPr="00C60408">
        <w:rPr>
          <w:rFonts w:cs="Arial"/>
        </w:rPr>
        <w:t xml:space="preserve">Pessoas </w:t>
      </w:r>
      <w:r>
        <w:rPr>
          <w:rFonts w:cs="Arial"/>
        </w:rPr>
        <w:t>naturais</w:t>
      </w:r>
      <w:r w:rsidRPr="00C60408">
        <w:rPr>
          <w:rFonts w:cs="Arial"/>
        </w:rPr>
        <w:t xml:space="preserve"> </w:t>
      </w:r>
      <w:r>
        <w:rPr>
          <w:rFonts w:cs="Arial"/>
        </w:rPr>
        <w:t>ou</w:t>
      </w:r>
      <w:r w:rsidRPr="00C60408">
        <w:rPr>
          <w:rFonts w:cs="Arial"/>
        </w:rPr>
        <w:t xml:space="preserve"> jurídicas</w:t>
      </w:r>
      <w:r>
        <w:rPr>
          <w:rFonts w:cs="Arial"/>
        </w:rPr>
        <w:t>,</w:t>
      </w:r>
      <w:r w:rsidRPr="00C60408">
        <w:rPr>
          <w:rFonts w:cs="Arial"/>
        </w:rPr>
        <w:t xml:space="preserve"> empreendedoras de atividades produtivas </w:t>
      </w:r>
      <w:r>
        <w:rPr>
          <w:rFonts w:cs="Arial"/>
        </w:rPr>
        <w:t xml:space="preserve">urbanas e rurais, </w:t>
      </w:r>
      <w:r w:rsidRPr="00BD25C0">
        <w:rPr>
          <w:rFonts w:cs="Arial"/>
        </w:rPr>
        <w:t xml:space="preserve">apresentadas de forma individual ou coletiva, com renda ou receita bruta anual igual ou inferior ao teto definido </w:t>
      </w:r>
      <w:r>
        <w:rPr>
          <w:rFonts w:cs="Arial"/>
        </w:rPr>
        <w:t>pela Lei Complementar nº 123/2006, de 14.12.2006, ou outra que a substitua, e nos termos da Resolução CMN nº 4.854, de 24.09.2020, que utilizarão os recursos do Produto BNDES Microcrédito.</w:t>
      </w:r>
    </w:p>
    <w:p w14:paraId="307342C2" w14:textId="5541F9D0" w:rsidR="007D06D0" w:rsidRDefault="007D06D0" w:rsidP="007D06D0">
      <w:pPr>
        <w:pStyle w:val="Corpodetexto"/>
        <w:keepNext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sz w:val="20"/>
        </w:rPr>
      </w:pPr>
      <w:r>
        <w:rPr>
          <w:rFonts w:cs="Arial"/>
          <w:b/>
        </w:rPr>
        <w:t>CONDIÇÕES DE FINANCIAMENTO PARA OS MICROEMPREENDEDORES</w:t>
      </w:r>
    </w:p>
    <w:p w14:paraId="50D4CDBD" w14:textId="5138CE09" w:rsidR="007D06D0" w:rsidRPr="007D06D0" w:rsidRDefault="007D06D0" w:rsidP="00BA209E">
      <w:pPr>
        <w:pStyle w:val="Corpodetexto"/>
        <w:keepNext/>
        <w:numPr>
          <w:ilvl w:val="1"/>
          <w:numId w:val="3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7D06D0">
        <w:rPr>
          <w:rFonts w:cs="Arial"/>
          <w:b/>
        </w:rPr>
        <w:t>Condições Gerais</w:t>
      </w:r>
    </w:p>
    <w:p w14:paraId="21E86D0C" w14:textId="0E69C421" w:rsidR="007D06D0" w:rsidRDefault="007D06D0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</w:rPr>
      </w:pPr>
      <w:r w:rsidRPr="00A040E5">
        <w:rPr>
          <w:rFonts w:cs="Arial"/>
        </w:rPr>
        <w:t xml:space="preserve">As operações realizadas entre os Agentes </w:t>
      </w:r>
      <w:r w:rsidR="00DB38B4">
        <w:rPr>
          <w:rFonts w:cs="Arial"/>
        </w:rPr>
        <w:t>Financeiros</w:t>
      </w:r>
      <w:r w:rsidRPr="00A040E5">
        <w:rPr>
          <w:rFonts w:cs="Arial"/>
        </w:rPr>
        <w:t xml:space="preserve"> de 1º piso e os Microempreendedores deverão observar as condições de financiamento disciplinadas pela Resolução n.º 4.854, de 24.09.2020, do Conselho Monetário Nacional (CMN) ou pelas Resoluções posteriores que a substituam, vigentes na data da contratação</w:t>
      </w:r>
      <w:r>
        <w:rPr>
          <w:rFonts w:cs="Arial"/>
        </w:rPr>
        <w:t>.</w:t>
      </w:r>
    </w:p>
    <w:p w14:paraId="44A4DB04" w14:textId="32A90267" w:rsidR="00DB38B4" w:rsidRPr="007D06D0" w:rsidRDefault="00DB38B4" w:rsidP="00BA209E">
      <w:pPr>
        <w:pStyle w:val="Corpodetexto"/>
        <w:keepNext/>
        <w:numPr>
          <w:ilvl w:val="1"/>
          <w:numId w:val="3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Itens Apoiáveis</w:t>
      </w:r>
    </w:p>
    <w:p w14:paraId="037312EE" w14:textId="739691B1" w:rsidR="00DB38B4" w:rsidRDefault="00DB38B4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</w:rPr>
      </w:pPr>
      <w:r w:rsidRPr="00CC4CEA">
        <w:rPr>
          <w:rFonts w:cs="Arial"/>
        </w:rPr>
        <w:t>Os recursos do Produto BNDES Microcrédito serão destinados exclusivamente para financiar bens, serviços e capital de giro, associados à atividade produtiva</w:t>
      </w:r>
      <w:r>
        <w:rPr>
          <w:rFonts w:cs="Arial"/>
        </w:rPr>
        <w:t xml:space="preserve"> do microempreendedor</w:t>
      </w:r>
      <w:r w:rsidRPr="00CC4CEA">
        <w:rPr>
          <w:rFonts w:cs="Arial"/>
        </w:rPr>
        <w:t xml:space="preserve">, inclusive Taxa de Abertura de Crédito </w:t>
      </w:r>
      <w:r>
        <w:rPr>
          <w:rFonts w:cs="Arial"/>
        </w:rPr>
        <w:t>(</w:t>
      </w:r>
      <w:r w:rsidRPr="00CC4CEA">
        <w:rPr>
          <w:rFonts w:cs="Arial"/>
        </w:rPr>
        <w:t>TAC</w:t>
      </w:r>
      <w:r>
        <w:rPr>
          <w:rFonts w:cs="Arial"/>
        </w:rPr>
        <w:t>).</w:t>
      </w:r>
    </w:p>
    <w:p w14:paraId="2BCF7E6D" w14:textId="0F9867D6" w:rsidR="00DB38B4" w:rsidRPr="007D06D0" w:rsidRDefault="00DB38B4" w:rsidP="00BA209E">
      <w:pPr>
        <w:pStyle w:val="Corpodetexto"/>
        <w:keepNext/>
        <w:numPr>
          <w:ilvl w:val="1"/>
          <w:numId w:val="3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Itens Não Apoiáveis</w:t>
      </w:r>
    </w:p>
    <w:p w14:paraId="5231DF8F" w14:textId="2545291A" w:rsidR="00DB38B4" w:rsidRDefault="00DB38B4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</w:rPr>
      </w:pPr>
      <w:r w:rsidRPr="00CC4CEA">
        <w:rPr>
          <w:rFonts w:cs="Arial"/>
        </w:rPr>
        <w:t>É vedado financiar recuperação de capitais já investidos, pagamento de dívidas, encargos financeiros (excluída a TAC), assim como serviços e bens destinados ao consumo, duráveis ou não duráveis, não relacionados ao empreendimento</w:t>
      </w:r>
      <w:r>
        <w:rPr>
          <w:rFonts w:cs="Arial"/>
        </w:rPr>
        <w:t>.</w:t>
      </w:r>
    </w:p>
    <w:p w14:paraId="22F2A7B4" w14:textId="2AC99209" w:rsidR="00DC2B5C" w:rsidRPr="007D06D0" w:rsidRDefault="00DC2B5C" w:rsidP="00BA209E">
      <w:pPr>
        <w:pStyle w:val="Corpodetexto"/>
        <w:keepNext/>
        <w:numPr>
          <w:ilvl w:val="1"/>
          <w:numId w:val="3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Garantias</w:t>
      </w:r>
    </w:p>
    <w:p w14:paraId="521879BC" w14:textId="560F5D41" w:rsidR="00DC2B5C" w:rsidRDefault="00DC2B5C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</w:rPr>
      </w:pPr>
      <w:r w:rsidRPr="00F91457">
        <w:rPr>
          <w:rFonts w:cs="Arial"/>
        </w:rPr>
        <w:t xml:space="preserve">São permitidas as garantias previstas no </w:t>
      </w:r>
      <w:r w:rsidRPr="00886EBA">
        <w:rPr>
          <w:rFonts w:cs="Arial"/>
          <w:i/>
        </w:rPr>
        <w:t>caput</w:t>
      </w:r>
      <w:r w:rsidRPr="00F91457">
        <w:rPr>
          <w:rFonts w:cs="Arial"/>
        </w:rPr>
        <w:t xml:space="preserve"> e no parágrafo 1° do artigo 5° da Lei n° 13.636</w:t>
      </w:r>
      <w:r>
        <w:rPr>
          <w:rFonts w:cs="Arial"/>
        </w:rPr>
        <w:t>/2018, ou por lei posterior que venha a substitui-la.</w:t>
      </w:r>
    </w:p>
    <w:p w14:paraId="2251323D" w14:textId="04C30881" w:rsidR="00DC2B5C" w:rsidRPr="007D06D0" w:rsidRDefault="00DC2B5C" w:rsidP="00BA209E">
      <w:pPr>
        <w:pStyle w:val="Corpodetexto"/>
        <w:keepNext/>
        <w:numPr>
          <w:ilvl w:val="1"/>
          <w:numId w:val="3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Limite Máximo de Financiamento</w:t>
      </w:r>
    </w:p>
    <w:p w14:paraId="2001047C" w14:textId="36594782" w:rsidR="00DC2B5C" w:rsidRDefault="00DC2B5C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</w:rPr>
      </w:pPr>
      <w:r w:rsidRPr="00CC4CEA">
        <w:rPr>
          <w:rFonts w:cs="Arial"/>
        </w:rPr>
        <w:t>Até 100% do valor da proposta</w:t>
      </w:r>
      <w:r>
        <w:rPr>
          <w:rFonts w:cs="Arial"/>
        </w:rPr>
        <w:t>.</w:t>
      </w:r>
    </w:p>
    <w:p w14:paraId="4AD82051" w14:textId="2092B54D" w:rsidR="003709B3" w:rsidRDefault="00FA1C3F" w:rsidP="003709B3">
      <w:pPr>
        <w:pStyle w:val="Corpodetexto"/>
        <w:keepNext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sz w:val="20"/>
        </w:rPr>
      </w:pPr>
      <w:r>
        <w:rPr>
          <w:rFonts w:cs="Arial"/>
          <w:b/>
        </w:rPr>
        <w:t>LINHAS</w:t>
      </w:r>
    </w:p>
    <w:p w14:paraId="605CA056" w14:textId="541687EB" w:rsidR="003709B3" w:rsidRPr="00FA1C3F" w:rsidRDefault="00FA1C3F" w:rsidP="00BA209E">
      <w:pPr>
        <w:pStyle w:val="Corpodetexto"/>
        <w:numPr>
          <w:ilvl w:val="1"/>
          <w:numId w:val="4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Cs/>
        </w:rPr>
      </w:pPr>
      <w:r w:rsidRPr="00FA1C3F">
        <w:rPr>
          <w:rFonts w:cs="Arial"/>
          <w:bCs/>
        </w:rPr>
        <w:t xml:space="preserve">Microcrédito Produtivo Orientado; </w:t>
      </w:r>
      <w:r w:rsidR="00A7194E">
        <w:rPr>
          <w:rFonts w:cs="Arial"/>
          <w:bCs/>
        </w:rPr>
        <w:t>e</w:t>
      </w:r>
    </w:p>
    <w:p w14:paraId="643C767C" w14:textId="3B10DC92" w:rsidR="00FA1C3F" w:rsidRDefault="00FA1C3F" w:rsidP="00BA209E">
      <w:pPr>
        <w:pStyle w:val="Corpodetexto"/>
        <w:numPr>
          <w:ilvl w:val="1"/>
          <w:numId w:val="4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Cs/>
        </w:rPr>
      </w:pPr>
      <w:r w:rsidRPr="00FA1C3F">
        <w:rPr>
          <w:rFonts w:cs="Arial"/>
          <w:bCs/>
        </w:rPr>
        <w:t>Mais Microcrédito.</w:t>
      </w:r>
    </w:p>
    <w:p w14:paraId="3C48BEFD" w14:textId="7EBC1244" w:rsidR="00A7194E" w:rsidRDefault="00A7194E" w:rsidP="00A7194E">
      <w:pPr>
        <w:pStyle w:val="Corpodetexto"/>
        <w:keepNext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sz w:val="20"/>
        </w:rPr>
      </w:pPr>
      <w:r>
        <w:rPr>
          <w:rFonts w:cs="Arial"/>
          <w:b/>
        </w:rPr>
        <w:t>LINHA MICROCRÉDITO PRODUTIVO ORIENTADO</w:t>
      </w:r>
    </w:p>
    <w:p w14:paraId="549DA3B8" w14:textId="5E1EE80E" w:rsidR="00423C4F" w:rsidRDefault="00423C4F" w:rsidP="00BA209E">
      <w:pPr>
        <w:pStyle w:val="Corpodetexto"/>
        <w:keepNext/>
        <w:numPr>
          <w:ilvl w:val="1"/>
          <w:numId w:val="5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Objetivo</w:t>
      </w:r>
    </w:p>
    <w:p w14:paraId="09B26171" w14:textId="23710F9E" w:rsidR="00423C4F" w:rsidRDefault="00423C4F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423C4F">
        <w:rPr>
          <w:rFonts w:cs="Arial"/>
          <w:bCs/>
        </w:rPr>
        <w:t xml:space="preserve">Apoiar o microempreendedor, tendo presente os preceitos e normas do Programa Nacional de Microcrédito Produtivo Orientado (PNMPO), de modo a promover a economia popular, visando a incentivar a geração de trabalho e renda, inclusão </w:t>
      </w:r>
      <w:r w:rsidRPr="00423C4F">
        <w:rPr>
          <w:rFonts w:cs="Arial"/>
          <w:bCs/>
        </w:rPr>
        <w:lastRenderedPageBreak/>
        <w:t>social, complementação de políticas sociais e/ou promoção do desenvolvimento local.</w:t>
      </w:r>
    </w:p>
    <w:p w14:paraId="4DD3B5F8" w14:textId="4108ABBB" w:rsidR="00A7194E" w:rsidRPr="00423C4F" w:rsidRDefault="00423C4F" w:rsidP="00BA209E">
      <w:pPr>
        <w:pStyle w:val="Corpodetexto"/>
        <w:keepNext/>
        <w:numPr>
          <w:ilvl w:val="1"/>
          <w:numId w:val="5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423C4F">
        <w:rPr>
          <w:rFonts w:cs="Arial"/>
          <w:b/>
        </w:rPr>
        <w:t>Clientes</w:t>
      </w:r>
    </w:p>
    <w:p w14:paraId="0CEC43CC" w14:textId="7027E37E" w:rsidR="00423C4F" w:rsidRDefault="00423C4F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423C4F">
        <w:rPr>
          <w:rFonts w:cs="Arial"/>
          <w:bCs/>
        </w:rPr>
        <w:t xml:space="preserve">Instituições Financeiras </w:t>
      </w:r>
      <w:r>
        <w:rPr>
          <w:rFonts w:cs="Arial"/>
          <w:bCs/>
        </w:rPr>
        <w:t>C</w:t>
      </w:r>
      <w:r w:rsidRPr="00423C4F">
        <w:rPr>
          <w:rFonts w:cs="Arial"/>
          <w:bCs/>
        </w:rPr>
        <w:t>redenciadas como Agentes Financeiros do BNDES (1º ou 2º piso)</w:t>
      </w:r>
      <w:r w:rsidR="00CB6C63">
        <w:rPr>
          <w:rFonts w:cs="Arial"/>
          <w:bCs/>
        </w:rPr>
        <w:t xml:space="preserve">, </w:t>
      </w:r>
      <w:r w:rsidRPr="00423C4F">
        <w:rPr>
          <w:rFonts w:cs="Arial"/>
          <w:bCs/>
        </w:rPr>
        <w:t>e autorizadas a operar ou participar do PNMPO</w:t>
      </w:r>
      <w:r w:rsidR="0089492E">
        <w:rPr>
          <w:rFonts w:cs="Arial"/>
          <w:bCs/>
        </w:rPr>
        <w:t>, nos termos da Lei nº 13.636/2018, de 20.03.2018</w:t>
      </w:r>
      <w:r w:rsidR="004624D5">
        <w:rPr>
          <w:rFonts w:cs="Arial"/>
          <w:bCs/>
        </w:rPr>
        <w:t xml:space="preserve">, ou por lei posterior que </w:t>
      </w:r>
      <w:r w:rsidR="00911E24">
        <w:rPr>
          <w:rFonts w:cs="Arial"/>
          <w:bCs/>
        </w:rPr>
        <w:t>venha a substitui-la</w:t>
      </w:r>
      <w:r>
        <w:rPr>
          <w:rFonts w:cs="Arial"/>
          <w:bCs/>
        </w:rPr>
        <w:t>.</w:t>
      </w:r>
    </w:p>
    <w:p w14:paraId="26552684" w14:textId="38A96905" w:rsidR="00423C4F" w:rsidRPr="00423C4F" w:rsidRDefault="00423C4F" w:rsidP="00BA209E">
      <w:pPr>
        <w:pStyle w:val="Corpodetexto"/>
        <w:keepNext/>
        <w:numPr>
          <w:ilvl w:val="1"/>
          <w:numId w:val="5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Condições de Financiamento (1º ou 2º piso)</w:t>
      </w:r>
    </w:p>
    <w:p w14:paraId="225C8E7F" w14:textId="590397DB" w:rsidR="00AD0970" w:rsidRDefault="00AD0970" w:rsidP="00BA209E">
      <w:pPr>
        <w:pStyle w:val="Corpodetexto"/>
        <w:keepNext/>
        <w:numPr>
          <w:ilvl w:val="2"/>
          <w:numId w:val="5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  <w:b/>
        </w:rPr>
      </w:pPr>
      <w:r>
        <w:rPr>
          <w:rFonts w:cs="Arial"/>
          <w:b/>
        </w:rPr>
        <w:t>Taxa de Juros</w:t>
      </w:r>
      <w:r w:rsidR="002A65BD">
        <w:rPr>
          <w:rFonts w:cs="Arial"/>
          <w:b/>
        </w:rPr>
        <w:tab/>
      </w:r>
      <w:r w:rsidR="002A65BD">
        <w:rPr>
          <w:rFonts w:cs="Arial"/>
          <w:b/>
        </w:rPr>
        <w:tab/>
      </w:r>
    </w:p>
    <w:p w14:paraId="472960D3" w14:textId="4B987B8C" w:rsidR="00AD0970" w:rsidRDefault="00AD0970" w:rsidP="00BA209E">
      <w:pPr>
        <w:pStyle w:val="Corpodetexto"/>
        <w:keepNext/>
        <w:numPr>
          <w:ilvl w:val="3"/>
          <w:numId w:val="5"/>
        </w:numPr>
        <w:tabs>
          <w:tab w:val="left" w:pos="2127"/>
          <w:tab w:val="left" w:pos="3119"/>
        </w:tabs>
        <w:spacing w:before="120" w:after="120" w:line="240" w:lineRule="auto"/>
        <w:ind w:left="3119" w:hanging="992"/>
        <w:rPr>
          <w:rFonts w:cs="Arial"/>
          <w:b/>
        </w:rPr>
      </w:pPr>
      <w:r>
        <w:rPr>
          <w:rFonts w:cs="Arial"/>
          <w:b/>
        </w:rPr>
        <w:t>Custo Financeiro</w:t>
      </w:r>
    </w:p>
    <w:p w14:paraId="56B3FA6E" w14:textId="21660BDE" w:rsidR="00AD0970" w:rsidRDefault="00AD0970" w:rsidP="00736DDE">
      <w:pPr>
        <w:pStyle w:val="Corpodetexto"/>
        <w:spacing w:before="120" w:after="120" w:line="240" w:lineRule="auto"/>
        <w:ind w:left="3119"/>
        <w:rPr>
          <w:rFonts w:cs="Arial"/>
          <w:b/>
        </w:rPr>
      </w:pPr>
      <w:r w:rsidRPr="004B4F60">
        <w:rPr>
          <w:rFonts w:cs="Arial"/>
        </w:rPr>
        <w:t>Taxa de Longo Prazo (TLP)</w:t>
      </w:r>
      <w:r>
        <w:rPr>
          <w:rFonts w:cs="Arial"/>
        </w:rPr>
        <w:t>,</w:t>
      </w:r>
      <w:r w:rsidRPr="00BE40D0">
        <w:rPr>
          <w:rFonts w:cs="Arial"/>
        </w:rPr>
        <w:t xml:space="preserve"> Taxa </w:t>
      </w:r>
      <w:r w:rsidR="006B6F89">
        <w:rPr>
          <w:rFonts w:cs="Arial"/>
        </w:rPr>
        <w:t>LCD,</w:t>
      </w:r>
      <w:r>
        <w:rPr>
          <w:rFonts w:cs="Arial"/>
        </w:rPr>
        <w:t xml:space="preserve"> TS</w:t>
      </w:r>
      <w:r w:rsidRPr="00BE40D0">
        <w:rPr>
          <w:rFonts w:cs="Arial"/>
        </w:rPr>
        <w:t xml:space="preserve"> FAT</w:t>
      </w:r>
      <w:r w:rsidR="006B6F89">
        <w:rPr>
          <w:rFonts w:cs="Arial"/>
        </w:rPr>
        <w:t xml:space="preserve"> ou Taxa Prefixada FAT – Pré5</w:t>
      </w:r>
      <w:r>
        <w:rPr>
          <w:rFonts w:cs="Arial"/>
        </w:rPr>
        <w:t>.</w:t>
      </w:r>
    </w:p>
    <w:p w14:paraId="2E78EF70" w14:textId="2B5D4BB9" w:rsidR="009C0C57" w:rsidRDefault="009C0C57" w:rsidP="00BA209E">
      <w:pPr>
        <w:pStyle w:val="Corpodetexto"/>
        <w:keepNext/>
        <w:numPr>
          <w:ilvl w:val="3"/>
          <w:numId w:val="5"/>
        </w:numPr>
        <w:tabs>
          <w:tab w:val="left" w:pos="3119"/>
        </w:tabs>
        <w:spacing w:before="120" w:after="120" w:line="240" w:lineRule="auto"/>
        <w:ind w:left="3119" w:hanging="992"/>
        <w:rPr>
          <w:rFonts w:cs="Arial"/>
          <w:b/>
        </w:rPr>
      </w:pPr>
      <w:r>
        <w:rPr>
          <w:rFonts w:cs="Arial"/>
          <w:b/>
        </w:rPr>
        <w:t>Remuneração do BNDES</w:t>
      </w:r>
    </w:p>
    <w:p w14:paraId="708667F6" w14:textId="10713C6F" w:rsidR="009C0C57" w:rsidRDefault="009C0C57" w:rsidP="00736DDE">
      <w:pPr>
        <w:pStyle w:val="Corpodetexto"/>
        <w:spacing w:before="120" w:after="120" w:line="240" w:lineRule="auto"/>
        <w:ind w:left="3119"/>
        <w:rPr>
          <w:rFonts w:cs="Arial"/>
        </w:rPr>
      </w:pPr>
      <w:r>
        <w:rPr>
          <w:rFonts w:cs="Arial"/>
        </w:rPr>
        <w:t>0,</w:t>
      </w:r>
      <w:r w:rsidR="0078775C">
        <w:rPr>
          <w:rFonts w:cs="Arial"/>
        </w:rPr>
        <w:t>6</w:t>
      </w:r>
      <w:r>
        <w:rPr>
          <w:rFonts w:cs="Arial"/>
        </w:rPr>
        <w:t>% a.a. (seis décimos por cento ao ano).</w:t>
      </w:r>
    </w:p>
    <w:p w14:paraId="135C3700" w14:textId="05BE2083" w:rsidR="009C0C57" w:rsidRDefault="009C0C57" w:rsidP="00BA209E">
      <w:pPr>
        <w:pStyle w:val="Corpodetexto"/>
        <w:keepNext/>
        <w:numPr>
          <w:ilvl w:val="2"/>
          <w:numId w:val="5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  <w:b/>
        </w:rPr>
      </w:pPr>
      <w:r>
        <w:rPr>
          <w:rFonts w:cs="Arial"/>
          <w:b/>
        </w:rPr>
        <w:t>Participação Máxima</w:t>
      </w:r>
    </w:p>
    <w:p w14:paraId="7F1A987A" w14:textId="26B34C52" w:rsidR="009C0C57" w:rsidRDefault="009C0C57" w:rsidP="00736DDE">
      <w:pPr>
        <w:pStyle w:val="Corpodetexto"/>
        <w:keepNext/>
        <w:spacing w:before="120" w:after="120" w:line="240" w:lineRule="auto"/>
        <w:ind w:left="2127"/>
        <w:rPr>
          <w:rFonts w:cs="Arial"/>
          <w:b/>
        </w:rPr>
      </w:pPr>
      <w:r>
        <w:rPr>
          <w:rFonts w:cs="Arial"/>
        </w:rPr>
        <w:t>Até 80</w:t>
      </w:r>
      <w:r w:rsidRPr="00D92996">
        <w:rPr>
          <w:rFonts w:cs="Arial"/>
        </w:rPr>
        <w:t>% (</w:t>
      </w:r>
      <w:r>
        <w:rPr>
          <w:rFonts w:cs="Arial"/>
        </w:rPr>
        <w:t>oitenta</w:t>
      </w:r>
      <w:r w:rsidRPr="00D92996">
        <w:rPr>
          <w:rFonts w:cs="Arial"/>
        </w:rPr>
        <w:t xml:space="preserve"> por cento) dos itens </w:t>
      </w:r>
      <w:r>
        <w:rPr>
          <w:rFonts w:cs="Arial"/>
        </w:rPr>
        <w:t>apoi</w:t>
      </w:r>
      <w:r w:rsidRPr="00D92996">
        <w:rPr>
          <w:rFonts w:cs="Arial"/>
        </w:rPr>
        <w:t>áveis</w:t>
      </w:r>
      <w:r>
        <w:rPr>
          <w:rFonts w:cs="Arial"/>
        </w:rPr>
        <w:t>.</w:t>
      </w:r>
    </w:p>
    <w:p w14:paraId="571C0EFA" w14:textId="381DF152" w:rsidR="009C0C57" w:rsidRDefault="009C0C57" w:rsidP="00BA209E">
      <w:pPr>
        <w:pStyle w:val="Corpodetexto"/>
        <w:keepNext/>
        <w:numPr>
          <w:ilvl w:val="2"/>
          <w:numId w:val="5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  <w:b/>
        </w:rPr>
      </w:pPr>
      <w:r>
        <w:rPr>
          <w:rFonts w:cs="Arial"/>
          <w:b/>
        </w:rPr>
        <w:t>Prazo Total</w:t>
      </w:r>
    </w:p>
    <w:p w14:paraId="6A776C5A" w14:textId="7B40E87B" w:rsidR="009C0C57" w:rsidRDefault="009C0C57" w:rsidP="00736DDE">
      <w:pPr>
        <w:pStyle w:val="Corpodetexto"/>
        <w:spacing w:before="120" w:after="120" w:line="240" w:lineRule="auto"/>
        <w:ind w:left="2127"/>
        <w:rPr>
          <w:rFonts w:cs="Arial"/>
        </w:rPr>
      </w:pPr>
      <w:r w:rsidRPr="00A3100E">
        <w:rPr>
          <w:rFonts w:cs="Arial"/>
        </w:rPr>
        <w:t>Até 96 (noventa e seis) meses, incluindo até 60 (sessenta) meses de carência</w:t>
      </w:r>
      <w:r>
        <w:rPr>
          <w:rFonts w:cs="Arial"/>
        </w:rPr>
        <w:t>.</w:t>
      </w:r>
    </w:p>
    <w:p w14:paraId="0EA5C73B" w14:textId="04720DD5" w:rsidR="006B6F89" w:rsidRDefault="006B6F89" w:rsidP="00736DDE">
      <w:pPr>
        <w:pStyle w:val="Corpodetexto"/>
        <w:spacing w:before="120" w:after="120" w:line="240" w:lineRule="auto"/>
        <w:ind w:left="2127"/>
        <w:rPr>
          <w:rFonts w:cs="Arial"/>
          <w:bCs/>
        </w:rPr>
      </w:pPr>
      <w:bookmarkStart w:id="0" w:name="_Hlk220944085"/>
      <w:r w:rsidRPr="00654280">
        <w:rPr>
          <w:rFonts w:cs="Arial"/>
          <w:bCs/>
          <w:strike/>
        </w:rPr>
        <w:t>Para a utilização da Taxa LCD</w:t>
      </w:r>
      <w:r w:rsidR="00CB6C63" w:rsidRPr="00654280">
        <w:rPr>
          <w:rFonts w:cs="Arial"/>
          <w:bCs/>
          <w:strike/>
        </w:rPr>
        <w:t>,</w:t>
      </w:r>
      <w:r w:rsidRPr="00654280">
        <w:rPr>
          <w:rFonts w:cs="Arial"/>
          <w:bCs/>
          <w:strike/>
        </w:rPr>
        <w:t xml:space="preserve"> as operações deverão ter prazo total não superior a 60 (sessenta) meses e prazo de carência não superior a 6 (seis) meses, </w:t>
      </w:r>
      <w:proofErr w:type="gramStart"/>
      <w:r w:rsidRPr="00654280">
        <w:rPr>
          <w:rFonts w:cs="Arial"/>
          <w:bCs/>
          <w:strike/>
        </w:rPr>
        <w:t>improrrogáveis</w:t>
      </w:r>
      <w:bookmarkEnd w:id="0"/>
      <w:r w:rsidR="00654280">
        <w:rPr>
          <w:rFonts w:cs="Arial"/>
          <w:bCs/>
        </w:rPr>
        <w:t xml:space="preserve"> </w:t>
      </w:r>
      <w:r w:rsidR="00654280" w:rsidRPr="00654280">
        <w:rPr>
          <w:rFonts w:cs="Arial"/>
          <w:bCs/>
        </w:rPr>
        <w:t>Para</w:t>
      </w:r>
      <w:proofErr w:type="gramEnd"/>
      <w:r w:rsidR="00654280" w:rsidRPr="00654280">
        <w:rPr>
          <w:rFonts w:cs="Arial"/>
          <w:bCs/>
        </w:rPr>
        <w:t xml:space="preserve"> a utilização da Taxa LCD, as operações deverão ter prazo de carência não superior a 24 (vinte e quatro) meses</w:t>
      </w:r>
      <w:r>
        <w:rPr>
          <w:rFonts w:cs="Arial"/>
          <w:bCs/>
        </w:rPr>
        <w:t>.</w:t>
      </w:r>
      <w:r w:rsidR="00654280">
        <w:rPr>
          <w:rFonts w:cs="Arial"/>
          <w:bCs/>
        </w:rPr>
        <w:t xml:space="preserve"> </w:t>
      </w:r>
      <w:r w:rsidR="00654280" w:rsidRPr="00883485">
        <w:rPr>
          <w:rFonts w:cs="Arial"/>
          <w:b/>
          <w:bCs/>
          <w:i/>
          <w:iCs/>
          <w:color w:val="002060"/>
          <w:sz w:val="20"/>
        </w:rPr>
        <w:t>(Alterad</w:t>
      </w:r>
      <w:r w:rsidR="00654280">
        <w:rPr>
          <w:rFonts w:cs="Arial"/>
          <w:b/>
          <w:bCs/>
          <w:i/>
          <w:iCs/>
          <w:color w:val="002060"/>
          <w:sz w:val="20"/>
        </w:rPr>
        <w:t>o</w:t>
      </w:r>
      <w:r w:rsidR="00654280" w:rsidRPr="00883485">
        <w:rPr>
          <w:rFonts w:cs="Arial"/>
          <w:b/>
          <w:bCs/>
          <w:i/>
          <w:iCs/>
          <w:color w:val="002060"/>
          <w:sz w:val="20"/>
        </w:rPr>
        <w:t xml:space="preserve"> pela Circular SUP/ADIG nº </w:t>
      </w:r>
      <w:r w:rsidR="00654280">
        <w:rPr>
          <w:rFonts w:cs="Arial"/>
          <w:b/>
          <w:bCs/>
          <w:i/>
          <w:iCs/>
          <w:color w:val="002060"/>
          <w:sz w:val="20"/>
        </w:rPr>
        <w:t>09</w:t>
      </w:r>
      <w:r w:rsidR="00654280" w:rsidRPr="00883485">
        <w:rPr>
          <w:rFonts w:cs="Arial"/>
          <w:b/>
          <w:bCs/>
          <w:i/>
          <w:iCs/>
          <w:color w:val="002060"/>
          <w:sz w:val="20"/>
        </w:rPr>
        <w:t>/202</w:t>
      </w:r>
      <w:r w:rsidR="00654280">
        <w:rPr>
          <w:rFonts w:cs="Arial"/>
          <w:b/>
          <w:bCs/>
          <w:i/>
          <w:iCs/>
          <w:color w:val="002060"/>
          <w:sz w:val="20"/>
        </w:rPr>
        <w:t>6</w:t>
      </w:r>
      <w:r w:rsidR="00654280" w:rsidRPr="00883485">
        <w:rPr>
          <w:rFonts w:cs="Arial"/>
          <w:b/>
          <w:bCs/>
          <w:i/>
          <w:iCs/>
          <w:color w:val="002060"/>
          <w:sz w:val="20"/>
        </w:rPr>
        <w:t xml:space="preserve">, de </w:t>
      </w:r>
      <w:r w:rsidR="00654280">
        <w:rPr>
          <w:rFonts w:cs="Arial"/>
          <w:b/>
          <w:bCs/>
          <w:i/>
          <w:iCs/>
          <w:color w:val="002060"/>
          <w:sz w:val="20"/>
        </w:rPr>
        <w:t>22</w:t>
      </w:r>
      <w:r w:rsidR="00654280" w:rsidRPr="00883485">
        <w:rPr>
          <w:rFonts w:cs="Arial"/>
          <w:b/>
          <w:bCs/>
          <w:i/>
          <w:iCs/>
          <w:color w:val="002060"/>
          <w:sz w:val="20"/>
        </w:rPr>
        <w:t>.</w:t>
      </w:r>
      <w:r w:rsidR="00654280">
        <w:rPr>
          <w:rFonts w:cs="Arial"/>
          <w:b/>
          <w:bCs/>
          <w:i/>
          <w:iCs/>
          <w:color w:val="002060"/>
          <w:sz w:val="20"/>
        </w:rPr>
        <w:t>01</w:t>
      </w:r>
      <w:r w:rsidR="00654280" w:rsidRPr="00883485">
        <w:rPr>
          <w:rFonts w:cs="Arial"/>
          <w:b/>
          <w:bCs/>
          <w:i/>
          <w:iCs/>
          <w:color w:val="002060"/>
          <w:sz w:val="20"/>
        </w:rPr>
        <w:t>.202</w:t>
      </w:r>
      <w:r w:rsidR="00654280">
        <w:rPr>
          <w:rFonts w:cs="Arial"/>
          <w:b/>
          <w:bCs/>
          <w:i/>
          <w:iCs/>
          <w:color w:val="002060"/>
          <w:sz w:val="20"/>
        </w:rPr>
        <w:t>6</w:t>
      </w:r>
      <w:r w:rsidR="00654280" w:rsidRPr="00883485">
        <w:rPr>
          <w:rFonts w:cs="Arial"/>
          <w:b/>
          <w:bCs/>
          <w:i/>
          <w:iCs/>
          <w:color w:val="002060"/>
          <w:sz w:val="20"/>
        </w:rPr>
        <w:t>)</w:t>
      </w:r>
    </w:p>
    <w:p w14:paraId="15F8937D" w14:textId="77777777" w:rsidR="00F93CE7" w:rsidRPr="00423C4F" w:rsidRDefault="00F93CE7" w:rsidP="00BA209E">
      <w:pPr>
        <w:pStyle w:val="Corpodetexto"/>
        <w:keepNext/>
        <w:numPr>
          <w:ilvl w:val="1"/>
          <w:numId w:val="5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F14BC1">
        <w:rPr>
          <w:rFonts w:cs="Arial"/>
          <w:b/>
        </w:rPr>
        <w:t>Prazo de Utilização dos Recursos</w:t>
      </w:r>
    </w:p>
    <w:p w14:paraId="7C3ECCD1" w14:textId="0D512272" w:rsidR="00F93CE7" w:rsidRDefault="00F93CE7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F14BC1">
        <w:rPr>
          <w:rFonts w:cs="Arial"/>
          <w:bCs/>
        </w:rPr>
        <w:t xml:space="preserve">Os recursos poderão ser liberados em até 48 (quarenta e oito) meses a partir da </w:t>
      </w:r>
      <w:r w:rsidR="00770D03">
        <w:rPr>
          <w:rFonts w:cs="Arial"/>
          <w:bCs/>
        </w:rPr>
        <w:t>aprovação</w:t>
      </w:r>
      <w:r w:rsidRPr="00F14BC1">
        <w:rPr>
          <w:rFonts w:cs="Arial"/>
          <w:bCs/>
        </w:rPr>
        <w:t xml:space="preserve"> da operação</w:t>
      </w:r>
      <w:r w:rsidR="00037DBF">
        <w:rPr>
          <w:rFonts w:cs="Arial"/>
        </w:rPr>
        <w:t xml:space="preserve">, observado que, quando se tratar de operação cujo Custo Financeiro seja a Taxa LCD, também deverá ser respeitado o prazo de </w:t>
      </w:r>
      <w:r w:rsidR="00037DBF" w:rsidRPr="0020639F">
        <w:rPr>
          <w:rFonts w:cs="Arial"/>
        </w:rPr>
        <w:t xml:space="preserve">até </w:t>
      </w:r>
      <w:r w:rsidR="00037DBF">
        <w:rPr>
          <w:rFonts w:cs="Arial"/>
        </w:rPr>
        <w:t>36</w:t>
      </w:r>
      <w:r w:rsidR="00037DBF" w:rsidRPr="0020639F">
        <w:rPr>
          <w:rFonts w:cs="Arial"/>
        </w:rPr>
        <w:t xml:space="preserve"> (</w:t>
      </w:r>
      <w:r w:rsidR="00037DBF">
        <w:rPr>
          <w:rFonts w:cs="Arial"/>
        </w:rPr>
        <w:t>trinta</w:t>
      </w:r>
      <w:r w:rsidR="00037DBF" w:rsidRPr="0020639F">
        <w:rPr>
          <w:rFonts w:cs="Arial"/>
        </w:rPr>
        <w:t xml:space="preserve"> e </w:t>
      </w:r>
      <w:r w:rsidR="00037DBF">
        <w:rPr>
          <w:rFonts w:cs="Arial"/>
        </w:rPr>
        <w:t>seis</w:t>
      </w:r>
      <w:r w:rsidR="00037DBF" w:rsidRPr="0020639F">
        <w:rPr>
          <w:rFonts w:cs="Arial"/>
        </w:rPr>
        <w:t xml:space="preserve">) </w:t>
      </w:r>
      <w:r w:rsidR="00037DBF">
        <w:rPr>
          <w:rFonts w:cs="Arial"/>
        </w:rPr>
        <w:t>meses contados da data da contratação</w:t>
      </w:r>
      <w:r w:rsidR="00037DBF" w:rsidRPr="0020639F">
        <w:rPr>
          <w:rFonts w:cs="Arial"/>
        </w:rPr>
        <w:t xml:space="preserve"> da operação</w:t>
      </w:r>
      <w:r w:rsidR="00037DBF">
        <w:rPr>
          <w:rFonts w:cs="Arial"/>
        </w:rPr>
        <w:t>, improrrogável</w:t>
      </w:r>
      <w:r>
        <w:rPr>
          <w:rFonts w:cs="Arial"/>
          <w:bCs/>
        </w:rPr>
        <w:t>.</w:t>
      </w:r>
      <w:r w:rsidR="00037DBF">
        <w:rPr>
          <w:rFonts w:cs="Arial"/>
          <w:bCs/>
        </w:rPr>
        <w:t xml:space="preserve"> 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(Alterad</w:t>
      </w:r>
      <w:r w:rsidR="00037DBF">
        <w:rPr>
          <w:rFonts w:cs="Arial"/>
          <w:b/>
          <w:bCs/>
          <w:i/>
          <w:iCs/>
          <w:color w:val="002060"/>
          <w:sz w:val="20"/>
        </w:rPr>
        <w:t>o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 xml:space="preserve"> pela Circular SUP/ADIG nº </w:t>
      </w:r>
      <w:r w:rsidR="00037DBF">
        <w:rPr>
          <w:rFonts w:cs="Arial"/>
          <w:b/>
          <w:bCs/>
          <w:i/>
          <w:iCs/>
          <w:color w:val="002060"/>
          <w:sz w:val="20"/>
        </w:rPr>
        <w:t>09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/202</w:t>
      </w:r>
      <w:r w:rsidR="00037DBF">
        <w:rPr>
          <w:rFonts w:cs="Arial"/>
          <w:b/>
          <w:bCs/>
          <w:i/>
          <w:iCs/>
          <w:color w:val="002060"/>
          <w:sz w:val="20"/>
        </w:rPr>
        <w:t>6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 xml:space="preserve">, de </w:t>
      </w:r>
      <w:r w:rsidR="00037DBF">
        <w:rPr>
          <w:rFonts w:cs="Arial"/>
          <w:b/>
          <w:bCs/>
          <w:i/>
          <w:iCs/>
          <w:color w:val="002060"/>
          <w:sz w:val="20"/>
        </w:rPr>
        <w:t>22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.</w:t>
      </w:r>
      <w:r w:rsidR="00037DBF">
        <w:rPr>
          <w:rFonts w:cs="Arial"/>
          <w:b/>
          <w:bCs/>
          <w:i/>
          <w:iCs/>
          <w:color w:val="002060"/>
          <w:sz w:val="20"/>
        </w:rPr>
        <w:t>01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.202</w:t>
      </w:r>
      <w:r w:rsidR="00037DBF">
        <w:rPr>
          <w:rFonts w:cs="Arial"/>
          <w:b/>
          <w:bCs/>
          <w:i/>
          <w:iCs/>
          <w:color w:val="002060"/>
          <w:sz w:val="20"/>
        </w:rPr>
        <w:t>6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)</w:t>
      </w:r>
    </w:p>
    <w:p w14:paraId="104466CA" w14:textId="77777777" w:rsidR="00F93CE7" w:rsidRPr="00423C4F" w:rsidRDefault="00F93CE7" w:rsidP="00BA209E">
      <w:pPr>
        <w:pStyle w:val="Corpodetexto"/>
        <w:keepNext/>
        <w:numPr>
          <w:ilvl w:val="1"/>
          <w:numId w:val="5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F14BC1">
        <w:rPr>
          <w:rFonts w:cs="Arial"/>
          <w:b/>
        </w:rPr>
        <w:t>Valor Mínimo de Financiamento</w:t>
      </w:r>
    </w:p>
    <w:p w14:paraId="2B280669" w14:textId="77777777" w:rsidR="00F93CE7" w:rsidRDefault="00F93CE7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F14BC1">
        <w:rPr>
          <w:rFonts w:cs="Arial"/>
          <w:bCs/>
        </w:rPr>
        <w:t>R$ 1.000.000,00 (um milhão de reais).</w:t>
      </w:r>
    </w:p>
    <w:p w14:paraId="398AB85F" w14:textId="77777777" w:rsidR="00F93CE7" w:rsidRPr="00423C4F" w:rsidRDefault="00F93CE7" w:rsidP="00BA209E">
      <w:pPr>
        <w:pStyle w:val="Corpodetexto"/>
        <w:keepNext/>
        <w:numPr>
          <w:ilvl w:val="1"/>
          <w:numId w:val="5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F14BC1">
        <w:rPr>
          <w:rFonts w:cs="Arial"/>
          <w:b/>
        </w:rPr>
        <w:t xml:space="preserve">Valor </w:t>
      </w:r>
      <w:r>
        <w:rPr>
          <w:rFonts w:cs="Arial"/>
          <w:b/>
        </w:rPr>
        <w:t xml:space="preserve">Máximo </w:t>
      </w:r>
      <w:r w:rsidRPr="00F14BC1">
        <w:rPr>
          <w:rFonts w:cs="Arial"/>
          <w:b/>
        </w:rPr>
        <w:t>de Financiamento</w:t>
      </w:r>
    </w:p>
    <w:p w14:paraId="19CFE044" w14:textId="77777777" w:rsidR="00F93CE7" w:rsidRDefault="00F93CE7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B01B08">
        <w:rPr>
          <w:rFonts w:cs="Arial"/>
        </w:rPr>
        <w:t xml:space="preserve">Definido com base no limite de crédito disponível para as </w:t>
      </w:r>
      <w:r>
        <w:rPr>
          <w:rFonts w:cs="Arial"/>
        </w:rPr>
        <w:t>I</w:t>
      </w:r>
      <w:r w:rsidRPr="00B01B08">
        <w:rPr>
          <w:rFonts w:cs="Arial"/>
        </w:rPr>
        <w:t xml:space="preserve">nstituições </w:t>
      </w:r>
      <w:r>
        <w:rPr>
          <w:rFonts w:cs="Arial"/>
        </w:rPr>
        <w:t>Fi</w:t>
      </w:r>
      <w:r w:rsidRPr="00B01B08">
        <w:rPr>
          <w:rFonts w:cs="Arial"/>
        </w:rPr>
        <w:t xml:space="preserve">nanceiras </w:t>
      </w:r>
      <w:r>
        <w:rPr>
          <w:rFonts w:cs="Arial"/>
        </w:rPr>
        <w:t>C</w:t>
      </w:r>
      <w:r w:rsidRPr="00B01B08">
        <w:rPr>
          <w:rFonts w:cs="Arial"/>
        </w:rPr>
        <w:t>redenciadas</w:t>
      </w:r>
      <w:r w:rsidRPr="00F14BC1">
        <w:rPr>
          <w:rFonts w:cs="Arial"/>
          <w:bCs/>
        </w:rPr>
        <w:t>.</w:t>
      </w:r>
    </w:p>
    <w:p w14:paraId="29F412A1" w14:textId="22ACBB84" w:rsidR="00B46D97" w:rsidRDefault="00B46D97" w:rsidP="00BA209E">
      <w:pPr>
        <w:pStyle w:val="Corpodetexto"/>
        <w:keepNext/>
        <w:numPr>
          <w:ilvl w:val="1"/>
          <w:numId w:val="5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B46D97">
        <w:rPr>
          <w:rFonts w:cs="Arial"/>
          <w:b/>
        </w:rPr>
        <w:t xml:space="preserve">Periodicidade de </w:t>
      </w:r>
      <w:r w:rsidR="00F9520F">
        <w:rPr>
          <w:rFonts w:cs="Arial"/>
          <w:b/>
        </w:rPr>
        <w:t>P</w:t>
      </w:r>
      <w:r w:rsidRPr="00B46D97">
        <w:rPr>
          <w:rFonts w:cs="Arial"/>
          <w:b/>
        </w:rPr>
        <w:t>agamento de Juros</w:t>
      </w:r>
    </w:p>
    <w:p w14:paraId="290DD661" w14:textId="6EC5ABC1" w:rsidR="00B46D97" w:rsidRPr="00B46D97" w:rsidRDefault="00B46D97" w:rsidP="00DD2228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>
        <w:rPr>
          <w:rFonts w:cs="Arial"/>
          <w:bCs/>
        </w:rPr>
        <w:t>O Agente Financeiro deverá pagar j</w:t>
      </w:r>
      <w:r w:rsidRPr="00B46D97">
        <w:rPr>
          <w:rFonts w:cs="Arial"/>
          <w:bCs/>
        </w:rPr>
        <w:t xml:space="preserve">uros mensais </w:t>
      </w:r>
      <w:r>
        <w:rPr>
          <w:rFonts w:cs="Arial"/>
          <w:bCs/>
        </w:rPr>
        <w:t>sobre o valor do financiamento, inclusive durante o prazo de carência.</w:t>
      </w:r>
    </w:p>
    <w:p w14:paraId="76EFBFCC" w14:textId="7CC0A5D0" w:rsidR="00E51A59" w:rsidRDefault="00E51A59" w:rsidP="00E51A59">
      <w:pPr>
        <w:pStyle w:val="Corpodetexto"/>
        <w:keepNext/>
        <w:numPr>
          <w:ilvl w:val="0"/>
          <w:numId w:val="1"/>
        </w:numPr>
        <w:tabs>
          <w:tab w:val="clear" w:pos="644"/>
          <w:tab w:val="num" w:pos="567"/>
        </w:tabs>
        <w:spacing w:before="360" w:after="240" w:line="240" w:lineRule="auto"/>
        <w:ind w:left="567" w:hanging="567"/>
        <w:rPr>
          <w:rFonts w:cs="Arial"/>
          <w:sz w:val="20"/>
        </w:rPr>
      </w:pPr>
      <w:r>
        <w:rPr>
          <w:rFonts w:cs="Arial"/>
          <w:b/>
        </w:rPr>
        <w:lastRenderedPageBreak/>
        <w:t>LINHA MAIS MICROCRÉDITO</w:t>
      </w:r>
    </w:p>
    <w:p w14:paraId="669DF935" w14:textId="305B040D" w:rsidR="00E51A59" w:rsidRDefault="00E51A59" w:rsidP="00BA209E">
      <w:pPr>
        <w:pStyle w:val="Corpodetexto"/>
        <w:keepNext/>
        <w:numPr>
          <w:ilvl w:val="1"/>
          <w:numId w:val="6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Objetivo</w:t>
      </w:r>
    </w:p>
    <w:p w14:paraId="556E4915" w14:textId="7D3A566C" w:rsidR="00E51A59" w:rsidRPr="00423C4F" w:rsidRDefault="005C7CC6" w:rsidP="00F76486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4B6AA4">
        <w:rPr>
          <w:rFonts w:cs="Arial"/>
        </w:rPr>
        <w:t>Apoiar o microempreendedor</w:t>
      </w:r>
      <w:r>
        <w:rPr>
          <w:rFonts w:cs="Arial"/>
        </w:rPr>
        <w:t xml:space="preserve"> </w:t>
      </w:r>
      <w:r w:rsidRPr="004B6AA4">
        <w:rPr>
          <w:rFonts w:cs="Arial"/>
        </w:rPr>
        <w:t>de modo a promover a economia popular, visando a incentivar a geração de trabalho e renda, inclusão social, complementação de políticas sociais e/ou promoção do desenvolvimento local</w:t>
      </w:r>
      <w:r w:rsidR="00E51A59" w:rsidRPr="00423C4F">
        <w:rPr>
          <w:rFonts w:cs="Arial"/>
          <w:bCs/>
        </w:rPr>
        <w:t>.</w:t>
      </w:r>
    </w:p>
    <w:p w14:paraId="74E1D108" w14:textId="09476E06" w:rsidR="005C7CC6" w:rsidRDefault="005C7CC6" w:rsidP="00BA209E">
      <w:pPr>
        <w:pStyle w:val="Corpodetexto"/>
        <w:keepNext/>
        <w:numPr>
          <w:ilvl w:val="1"/>
          <w:numId w:val="6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423C4F">
        <w:rPr>
          <w:rFonts w:cs="Arial"/>
          <w:b/>
        </w:rPr>
        <w:t xml:space="preserve">Condições </w:t>
      </w:r>
      <w:r w:rsidR="003F35DD">
        <w:rPr>
          <w:rFonts w:cs="Arial"/>
          <w:b/>
        </w:rPr>
        <w:t xml:space="preserve">Adicionais </w:t>
      </w:r>
      <w:r w:rsidRPr="00423C4F">
        <w:rPr>
          <w:rFonts w:cs="Arial"/>
          <w:b/>
        </w:rPr>
        <w:t>de Financiamento para os Microempreendedores</w:t>
      </w:r>
    </w:p>
    <w:p w14:paraId="161D0909" w14:textId="77777777" w:rsidR="005C7CC6" w:rsidRDefault="005C7CC6" w:rsidP="00BA209E">
      <w:pPr>
        <w:pStyle w:val="Corpodetexto"/>
        <w:keepNext/>
        <w:numPr>
          <w:ilvl w:val="2"/>
          <w:numId w:val="6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  <w:b/>
        </w:rPr>
      </w:pPr>
      <w:r>
        <w:rPr>
          <w:rFonts w:cs="Arial"/>
          <w:b/>
        </w:rPr>
        <w:t>Condições Gerais</w:t>
      </w:r>
    </w:p>
    <w:p w14:paraId="0796E869" w14:textId="4F6A3659" w:rsidR="005C7CC6" w:rsidRDefault="004029D2" w:rsidP="00736DDE">
      <w:pPr>
        <w:pStyle w:val="Corpodetexto"/>
        <w:tabs>
          <w:tab w:val="num" w:pos="2127"/>
        </w:tabs>
        <w:spacing w:before="120" w:after="120" w:line="240" w:lineRule="auto"/>
        <w:ind w:left="2127"/>
        <w:rPr>
          <w:rFonts w:cs="Arial"/>
        </w:rPr>
      </w:pPr>
      <w:r>
        <w:rPr>
          <w:rFonts w:cs="Arial"/>
          <w:bCs/>
        </w:rPr>
        <w:t>Aplicam-se</w:t>
      </w:r>
      <w:r w:rsidR="005C7CC6" w:rsidRPr="005C7CC6">
        <w:rPr>
          <w:rFonts w:cs="Arial"/>
          <w:bCs/>
        </w:rPr>
        <w:t xml:space="preserve"> as condições de financiamento disciplinadas pela Resolução n</w:t>
      </w:r>
      <w:r w:rsidR="002B1E1E">
        <w:rPr>
          <w:rFonts w:cs="Arial"/>
          <w:bCs/>
        </w:rPr>
        <w:t>º</w:t>
      </w:r>
      <w:r w:rsidR="005C7CC6" w:rsidRPr="005C7CC6">
        <w:rPr>
          <w:rFonts w:cs="Arial"/>
          <w:bCs/>
        </w:rPr>
        <w:t xml:space="preserve"> 4.854, de 24.09.2020, do Conselho Monetário Nacional (CMN), </w:t>
      </w:r>
      <w:r>
        <w:rPr>
          <w:rFonts w:cs="Arial"/>
          <w:bCs/>
        </w:rPr>
        <w:t xml:space="preserve">ou Resoluções posteriores que a substituam, </w:t>
      </w:r>
      <w:r w:rsidR="005C7CC6" w:rsidRPr="00736DDE">
        <w:rPr>
          <w:rFonts w:cs="Arial"/>
          <w:bCs/>
        </w:rPr>
        <w:t xml:space="preserve">à exceção </w:t>
      </w:r>
      <w:r w:rsidRPr="00736DDE">
        <w:rPr>
          <w:rFonts w:cs="Arial"/>
          <w:bCs/>
        </w:rPr>
        <w:t>d</w:t>
      </w:r>
      <w:r w:rsidR="005C7CC6" w:rsidRPr="00736DDE">
        <w:rPr>
          <w:rFonts w:cs="Arial"/>
          <w:bCs/>
        </w:rPr>
        <w:t xml:space="preserve">os incisos </w:t>
      </w:r>
      <w:r w:rsidR="0096019B">
        <w:rPr>
          <w:rFonts w:cs="Arial"/>
          <w:bCs/>
        </w:rPr>
        <w:t>III</w:t>
      </w:r>
      <w:r w:rsidR="00D75D40">
        <w:rPr>
          <w:rFonts w:cs="Arial"/>
          <w:bCs/>
        </w:rPr>
        <w:t xml:space="preserve">, </w:t>
      </w:r>
      <w:r w:rsidR="005C7CC6" w:rsidRPr="00736DDE">
        <w:rPr>
          <w:rFonts w:cs="Arial"/>
          <w:bCs/>
        </w:rPr>
        <w:t>V e VI do artigo 3º.</w:t>
      </w:r>
    </w:p>
    <w:p w14:paraId="6718FF11" w14:textId="439F9D1E" w:rsidR="00D75D40" w:rsidRPr="00D75D40" w:rsidRDefault="00D75D40" w:rsidP="00736DDE">
      <w:pPr>
        <w:pStyle w:val="Corpodetexto"/>
        <w:tabs>
          <w:tab w:val="num" w:pos="2127"/>
        </w:tabs>
        <w:spacing w:before="120" w:after="120" w:line="240" w:lineRule="auto"/>
        <w:ind w:left="2127"/>
        <w:rPr>
          <w:rFonts w:cs="Arial"/>
          <w:bCs/>
        </w:rPr>
      </w:pPr>
      <w:r w:rsidRPr="00D75D40">
        <w:rPr>
          <w:rFonts w:cs="Arial"/>
          <w:bCs/>
        </w:rPr>
        <w:t>Em relação ao inciso III, permanecerá aplicável a alíquota máxima do valor do crédito concedido ao microempreendedor, relativo à Taxa de Abertura de Crédito – TAC.</w:t>
      </w:r>
    </w:p>
    <w:p w14:paraId="73895DC9" w14:textId="2F9CC131" w:rsidR="002B1E1E" w:rsidRDefault="002B1E1E" w:rsidP="00736DDE">
      <w:pPr>
        <w:pStyle w:val="Corpodetexto"/>
        <w:keepNext/>
        <w:numPr>
          <w:ilvl w:val="2"/>
          <w:numId w:val="1"/>
        </w:numPr>
        <w:tabs>
          <w:tab w:val="clear" w:pos="1997"/>
          <w:tab w:val="num" w:pos="2127"/>
        </w:tabs>
        <w:spacing w:before="120" w:after="120" w:line="240" w:lineRule="auto"/>
        <w:ind w:left="2127" w:hanging="851"/>
        <w:rPr>
          <w:rFonts w:cs="Arial"/>
          <w:b/>
        </w:rPr>
      </w:pPr>
      <w:r>
        <w:rPr>
          <w:rFonts w:cs="Arial"/>
          <w:b/>
        </w:rPr>
        <w:t>Limite de Financiamento</w:t>
      </w:r>
    </w:p>
    <w:p w14:paraId="77DFCFCB" w14:textId="494CB214" w:rsidR="002B1E1E" w:rsidRDefault="002B1E1E" w:rsidP="00736DDE">
      <w:pPr>
        <w:pStyle w:val="Corpodetexto"/>
        <w:tabs>
          <w:tab w:val="num" w:pos="2127"/>
        </w:tabs>
        <w:spacing w:before="120" w:after="120" w:line="240" w:lineRule="auto"/>
        <w:ind w:left="2127"/>
        <w:rPr>
          <w:rFonts w:cs="Arial"/>
          <w:bCs/>
        </w:rPr>
      </w:pPr>
      <w:r>
        <w:rPr>
          <w:rFonts w:cs="Arial"/>
          <w:bCs/>
        </w:rPr>
        <w:t>O</w:t>
      </w:r>
      <w:r w:rsidRPr="002B1E1E">
        <w:rPr>
          <w:rFonts w:cs="Arial"/>
          <w:bCs/>
        </w:rPr>
        <w:t xml:space="preserve"> limite máximo do somatório dos saldos devedores das operações de microcrédito do tomador, na mesma instituição financeira, não deverá ser superior a R$ 80.000,00 (oitenta mil reais)</w:t>
      </w:r>
      <w:r>
        <w:rPr>
          <w:rFonts w:cs="Arial"/>
          <w:bCs/>
        </w:rPr>
        <w:t>.</w:t>
      </w:r>
    </w:p>
    <w:p w14:paraId="0D64DDB6" w14:textId="1E10E5E6" w:rsidR="002B1E1E" w:rsidRDefault="002B1E1E" w:rsidP="00736DDE">
      <w:pPr>
        <w:pStyle w:val="Corpodetexto"/>
        <w:keepNext/>
        <w:numPr>
          <w:ilvl w:val="2"/>
          <w:numId w:val="1"/>
        </w:numPr>
        <w:tabs>
          <w:tab w:val="clear" w:pos="1997"/>
          <w:tab w:val="num" w:pos="2127"/>
        </w:tabs>
        <w:spacing w:before="120" w:after="120" w:line="240" w:lineRule="auto"/>
        <w:ind w:left="2127" w:hanging="851"/>
        <w:rPr>
          <w:rFonts w:cs="Arial"/>
          <w:b/>
        </w:rPr>
      </w:pPr>
      <w:r>
        <w:rPr>
          <w:rFonts w:cs="Arial"/>
          <w:b/>
        </w:rPr>
        <w:t>Itens Apoiáveis</w:t>
      </w:r>
    </w:p>
    <w:p w14:paraId="719A4AC2" w14:textId="2E194E4F" w:rsidR="002B1E1E" w:rsidRDefault="00AF2FCC" w:rsidP="00736DDE">
      <w:pPr>
        <w:pStyle w:val="Corpodetexto"/>
        <w:tabs>
          <w:tab w:val="num" w:pos="2127"/>
        </w:tabs>
        <w:spacing w:before="120" w:after="120" w:line="240" w:lineRule="auto"/>
        <w:ind w:left="2127"/>
        <w:rPr>
          <w:rFonts w:cs="Arial"/>
          <w:bCs/>
        </w:rPr>
      </w:pPr>
      <w:r w:rsidRPr="00703877">
        <w:rPr>
          <w:rFonts w:cs="Arial"/>
        </w:rPr>
        <w:t xml:space="preserve">Além do </w:t>
      </w:r>
      <w:r w:rsidRPr="0078775C">
        <w:rPr>
          <w:rFonts w:cs="Arial"/>
        </w:rPr>
        <w:t>disposto no item</w:t>
      </w:r>
      <w:r w:rsidR="002E6B9B" w:rsidRPr="0078775C">
        <w:rPr>
          <w:rFonts w:cs="Arial"/>
        </w:rPr>
        <w:t xml:space="preserve"> 7.2</w:t>
      </w:r>
      <w:r w:rsidR="00703877" w:rsidRPr="0078775C">
        <w:rPr>
          <w:rFonts w:cs="Arial"/>
          <w:bCs/>
        </w:rPr>
        <w:t>,</w:t>
      </w:r>
      <w:r w:rsidRPr="0078775C">
        <w:rPr>
          <w:rFonts w:cs="Arial"/>
        </w:rPr>
        <w:t xml:space="preserve"> é apoiável </w:t>
      </w:r>
      <w:r w:rsidR="00703877" w:rsidRPr="0078775C">
        <w:rPr>
          <w:rFonts w:cs="Arial"/>
          <w:bCs/>
        </w:rPr>
        <w:t>o encargo associado</w:t>
      </w:r>
      <w:r w:rsidRPr="0078775C">
        <w:rPr>
          <w:rFonts w:cs="Arial"/>
        </w:rPr>
        <w:t xml:space="preserve"> à contratação de Seguro Prestamista</w:t>
      </w:r>
      <w:r w:rsidR="00BD1F0E">
        <w:rPr>
          <w:rFonts w:cs="Arial"/>
          <w:bCs/>
        </w:rPr>
        <w:t xml:space="preserve"> ou Seguro Garantia</w:t>
      </w:r>
      <w:r w:rsidRPr="00703877">
        <w:rPr>
          <w:rFonts w:cs="Arial"/>
        </w:rPr>
        <w:t>, cujo cálculo é definido no regulamento do Fundo Garantidor de escolha do Agente Financeiro</w:t>
      </w:r>
      <w:r w:rsidR="002B1E1E" w:rsidRPr="00703877">
        <w:rPr>
          <w:rFonts w:cs="Arial"/>
        </w:rPr>
        <w:t>.</w:t>
      </w:r>
    </w:p>
    <w:p w14:paraId="335B386B" w14:textId="3EA2075C" w:rsidR="004C3406" w:rsidRDefault="004C3406" w:rsidP="00BA209E">
      <w:pPr>
        <w:pStyle w:val="Corpodetexto"/>
        <w:keepNext/>
        <w:numPr>
          <w:ilvl w:val="1"/>
          <w:numId w:val="6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Clientes</w:t>
      </w:r>
    </w:p>
    <w:p w14:paraId="4D9036F7" w14:textId="25312C4C" w:rsidR="004C3406" w:rsidRPr="00423C4F" w:rsidRDefault="004C3406" w:rsidP="00F52F09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4C3406">
        <w:rPr>
          <w:rFonts w:cs="Arial"/>
        </w:rPr>
        <w:t xml:space="preserve">Instituições Financeiras </w:t>
      </w:r>
      <w:r>
        <w:rPr>
          <w:rFonts w:cs="Arial"/>
        </w:rPr>
        <w:t>C</w:t>
      </w:r>
      <w:r w:rsidRPr="004C3406">
        <w:rPr>
          <w:rFonts w:cs="Arial"/>
        </w:rPr>
        <w:t>redenciadas como Agentes Financeiros do BNDES</w:t>
      </w:r>
      <w:r w:rsidR="002B58B9">
        <w:rPr>
          <w:rFonts w:cs="Arial"/>
        </w:rPr>
        <w:t xml:space="preserve">     </w:t>
      </w:r>
      <w:r w:rsidRPr="004C3406">
        <w:rPr>
          <w:rFonts w:cs="Arial"/>
        </w:rPr>
        <w:t xml:space="preserve"> (1º ou 2º piso)</w:t>
      </w:r>
      <w:r w:rsidR="003E7B78">
        <w:rPr>
          <w:rFonts w:cs="Arial"/>
          <w:bCs/>
        </w:rPr>
        <w:t>.</w:t>
      </w:r>
    </w:p>
    <w:p w14:paraId="1ED578B9" w14:textId="77777777" w:rsidR="007710B7" w:rsidRPr="00423C4F" w:rsidRDefault="007710B7" w:rsidP="00BA209E">
      <w:pPr>
        <w:pStyle w:val="Corpodetexto"/>
        <w:keepNext/>
        <w:numPr>
          <w:ilvl w:val="1"/>
          <w:numId w:val="6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Condições de Financiamento (1º ou 2º piso)</w:t>
      </w:r>
    </w:p>
    <w:p w14:paraId="7E85256C" w14:textId="77777777" w:rsidR="007710B7" w:rsidRDefault="007710B7" w:rsidP="00BA209E">
      <w:pPr>
        <w:pStyle w:val="Corpodetexto"/>
        <w:keepNext/>
        <w:numPr>
          <w:ilvl w:val="2"/>
          <w:numId w:val="6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  <w:b/>
        </w:rPr>
      </w:pPr>
      <w:r>
        <w:rPr>
          <w:rFonts w:cs="Arial"/>
          <w:b/>
        </w:rPr>
        <w:t>Taxa de Juros</w:t>
      </w:r>
    </w:p>
    <w:p w14:paraId="54F9A6BB" w14:textId="77777777" w:rsidR="007710B7" w:rsidRDefault="007710B7" w:rsidP="00BA209E">
      <w:pPr>
        <w:pStyle w:val="Corpodetexto"/>
        <w:keepNext/>
        <w:numPr>
          <w:ilvl w:val="3"/>
          <w:numId w:val="6"/>
        </w:numPr>
        <w:tabs>
          <w:tab w:val="left" w:pos="3119"/>
        </w:tabs>
        <w:spacing w:before="120" w:after="120" w:line="240" w:lineRule="auto"/>
        <w:ind w:left="3119" w:hanging="992"/>
        <w:rPr>
          <w:rFonts w:cs="Arial"/>
          <w:b/>
        </w:rPr>
      </w:pPr>
      <w:r>
        <w:rPr>
          <w:rFonts w:cs="Arial"/>
          <w:b/>
        </w:rPr>
        <w:t>Custo Financeiro</w:t>
      </w:r>
    </w:p>
    <w:p w14:paraId="087E2F93" w14:textId="51190F1E" w:rsidR="007710B7" w:rsidRDefault="007710B7" w:rsidP="00F74932">
      <w:pPr>
        <w:pStyle w:val="Corpodetexto"/>
        <w:spacing w:before="120" w:after="120" w:line="240" w:lineRule="auto"/>
        <w:ind w:left="3119"/>
        <w:rPr>
          <w:rFonts w:cs="Arial"/>
          <w:b/>
        </w:rPr>
      </w:pPr>
      <w:r w:rsidRPr="004B4F60">
        <w:rPr>
          <w:rFonts w:cs="Arial"/>
        </w:rPr>
        <w:t>Taxa de Longo Prazo (TLP)</w:t>
      </w:r>
      <w:r>
        <w:rPr>
          <w:rFonts w:cs="Arial"/>
        </w:rPr>
        <w:t>,</w:t>
      </w:r>
      <w:r w:rsidRPr="00BE40D0">
        <w:rPr>
          <w:rFonts w:cs="Arial"/>
        </w:rPr>
        <w:t xml:space="preserve"> </w:t>
      </w:r>
      <w:r w:rsidR="00AD02D9">
        <w:rPr>
          <w:rFonts w:cs="Arial"/>
        </w:rPr>
        <w:t xml:space="preserve">Taxa LCD, </w:t>
      </w:r>
      <w:r>
        <w:rPr>
          <w:rFonts w:cs="Arial"/>
        </w:rPr>
        <w:t>TS</w:t>
      </w:r>
      <w:r w:rsidRPr="00BE40D0">
        <w:rPr>
          <w:rFonts w:cs="Arial"/>
        </w:rPr>
        <w:t xml:space="preserve"> FAT</w:t>
      </w:r>
      <w:r w:rsidR="00AD02D9">
        <w:rPr>
          <w:rFonts w:cs="Arial"/>
        </w:rPr>
        <w:t xml:space="preserve"> ou Taxa Prefixada FAT – Pré5</w:t>
      </w:r>
      <w:r>
        <w:rPr>
          <w:rFonts w:cs="Arial"/>
        </w:rPr>
        <w:t>.</w:t>
      </w:r>
    </w:p>
    <w:p w14:paraId="6BF3D37F" w14:textId="77777777" w:rsidR="007710B7" w:rsidRDefault="007710B7" w:rsidP="00BA209E">
      <w:pPr>
        <w:pStyle w:val="Corpodetexto"/>
        <w:keepNext/>
        <w:numPr>
          <w:ilvl w:val="3"/>
          <w:numId w:val="6"/>
        </w:numPr>
        <w:tabs>
          <w:tab w:val="left" w:pos="3119"/>
        </w:tabs>
        <w:spacing w:before="120" w:after="120" w:line="240" w:lineRule="auto"/>
        <w:ind w:left="3119" w:hanging="992"/>
        <w:rPr>
          <w:rFonts w:cs="Arial"/>
          <w:b/>
        </w:rPr>
      </w:pPr>
      <w:r>
        <w:rPr>
          <w:rFonts w:cs="Arial"/>
          <w:b/>
        </w:rPr>
        <w:t>Remuneração do BNDES</w:t>
      </w:r>
    </w:p>
    <w:p w14:paraId="040598B7" w14:textId="5E853FCE" w:rsidR="007710B7" w:rsidRDefault="007710B7" w:rsidP="00F74932">
      <w:pPr>
        <w:pStyle w:val="Corpodetexto"/>
        <w:spacing w:before="120" w:after="120" w:line="240" w:lineRule="auto"/>
        <w:ind w:left="3119"/>
        <w:rPr>
          <w:rFonts w:cs="Arial"/>
        </w:rPr>
      </w:pPr>
      <w:r>
        <w:rPr>
          <w:rFonts w:cs="Arial"/>
        </w:rPr>
        <w:t>0,</w:t>
      </w:r>
      <w:r w:rsidR="0078775C">
        <w:rPr>
          <w:rFonts w:cs="Arial"/>
        </w:rPr>
        <w:t>7</w:t>
      </w:r>
      <w:r w:rsidR="00AF2FCC">
        <w:rPr>
          <w:rFonts w:cs="Arial"/>
        </w:rPr>
        <w:t>5</w:t>
      </w:r>
      <w:r>
        <w:rPr>
          <w:rFonts w:cs="Arial"/>
        </w:rPr>
        <w:t>% a.a. (</w:t>
      </w:r>
      <w:r w:rsidR="00AF2FCC">
        <w:rPr>
          <w:rFonts w:cs="Arial"/>
        </w:rPr>
        <w:t>setenta e cinco centésimos</w:t>
      </w:r>
      <w:r>
        <w:rPr>
          <w:rFonts w:cs="Arial"/>
        </w:rPr>
        <w:t xml:space="preserve"> por cento ao ano).</w:t>
      </w:r>
    </w:p>
    <w:p w14:paraId="65C05568" w14:textId="75F744B4" w:rsidR="007710B7" w:rsidRDefault="007710B7" w:rsidP="00BA209E">
      <w:pPr>
        <w:pStyle w:val="Corpodetexto"/>
        <w:keepNext/>
        <w:numPr>
          <w:ilvl w:val="2"/>
          <w:numId w:val="6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  <w:b/>
        </w:rPr>
      </w:pPr>
      <w:r>
        <w:rPr>
          <w:rFonts w:cs="Arial"/>
          <w:b/>
        </w:rPr>
        <w:t>Participação Máxima</w:t>
      </w:r>
    </w:p>
    <w:p w14:paraId="1E996813" w14:textId="77777777" w:rsidR="007710B7" w:rsidRDefault="007710B7" w:rsidP="00F74932">
      <w:pPr>
        <w:pStyle w:val="Corpodetexto"/>
        <w:spacing w:before="120" w:after="120" w:line="240" w:lineRule="auto"/>
        <w:ind w:left="2127"/>
        <w:rPr>
          <w:rFonts w:cs="Arial"/>
          <w:b/>
        </w:rPr>
      </w:pPr>
      <w:r>
        <w:rPr>
          <w:rFonts w:cs="Arial"/>
        </w:rPr>
        <w:t>Até 80</w:t>
      </w:r>
      <w:r w:rsidRPr="00D92996">
        <w:rPr>
          <w:rFonts w:cs="Arial"/>
        </w:rPr>
        <w:t>% (</w:t>
      </w:r>
      <w:r>
        <w:rPr>
          <w:rFonts w:cs="Arial"/>
        </w:rPr>
        <w:t>oitenta</w:t>
      </w:r>
      <w:r w:rsidRPr="00D92996">
        <w:rPr>
          <w:rFonts w:cs="Arial"/>
        </w:rPr>
        <w:t xml:space="preserve"> por cento) dos itens </w:t>
      </w:r>
      <w:r>
        <w:rPr>
          <w:rFonts w:cs="Arial"/>
        </w:rPr>
        <w:t>apoi</w:t>
      </w:r>
      <w:r w:rsidRPr="00D92996">
        <w:rPr>
          <w:rFonts w:cs="Arial"/>
        </w:rPr>
        <w:t>áveis</w:t>
      </w:r>
      <w:r>
        <w:rPr>
          <w:rFonts w:cs="Arial"/>
        </w:rPr>
        <w:t>.</w:t>
      </w:r>
    </w:p>
    <w:p w14:paraId="1CB18C0D" w14:textId="77777777" w:rsidR="003365FD" w:rsidRDefault="003365FD" w:rsidP="00BA209E">
      <w:pPr>
        <w:pStyle w:val="Corpodetexto"/>
        <w:keepNext/>
        <w:numPr>
          <w:ilvl w:val="2"/>
          <w:numId w:val="6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  <w:b/>
        </w:rPr>
      </w:pPr>
      <w:r>
        <w:rPr>
          <w:rFonts w:cs="Arial"/>
          <w:b/>
        </w:rPr>
        <w:t>Prazo Total</w:t>
      </w:r>
    </w:p>
    <w:p w14:paraId="6256906F" w14:textId="77777777" w:rsidR="003365FD" w:rsidRDefault="003365FD" w:rsidP="00F74932">
      <w:pPr>
        <w:pStyle w:val="Corpodetexto"/>
        <w:spacing w:before="120" w:after="120" w:line="240" w:lineRule="auto"/>
        <w:ind w:left="2127"/>
        <w:rPr>
          <w:rFonts w:cs="Arial"/>
        </w:rPr>
      </w:pPr>
      <w:r w:rsidRPr="00A3100E">
        <w:rPr>
          <w:rFonts w:cs="Arial"/>
        </w:rPr>
        <w:t>Até 96 (noventa e seis) meses, incluindo até 60 (sessenta) meses de carência</w:t>
      </w:r>
      <w:r>
        <w:rPr>
          <w:rFonts w:cs="Arial"/>
        </w:rPr>
        <w:t>.</w:t>
      </w:r>
    </w:p>
    <w:p w14:paraId="5B8CD9AC" w14:textId="0A6B8DCD" w:rsidR="00AD02D9" w:rsidRDefault="00AD02D9" w:rsidP="00F74932">
      <w:pPr>
        <w:pStyle w:val="Corpodetexto"/>
        <w:spacing w:before="120" w:after="120" w:line="240" w:lineRule="auto"/>
        <w:ind w:left="2127"/>
        <w:rPr>
          <w:rFonts w:cs="Arial"/>
          <w:b/>
        </w:rPr>
      </w:pPr>
      <w:r w:rsidRPr="00037DBF">
        <w:rPr>
          <w:rFonts w:cs="Arial"/>
          <w:bCs/>
          <w:strike/>
        </w:rPr>
        <w:t>Para a utilização da Taxa LCD</w:t>
      </w:r>
      <w:r w:rsidR="003E7B78" w:rsidRPr="00037DBF">
        <w:rPr>
          <w:rFonts w:cs="Arial"/>
          <w:bCs/>
          <w:strike/>
        </w:rPr>
        <w:t>,</w:t>
      </w:r>
      <w:r w:rsidRPr="00037DBF">
        <w:rPr>
          <w:rFonts w:cs="Arial"/>
          <w:bCs/>
          <w:strike/>
        </w:rPr>
        <w:t xml:space="preserve"> as operações deverão ter prazo total não superior a 60 (sessenta) meses e prazo de carência não superior a 6 (seis) meses, </w:t>
      </w:r>
      <w:proofErr w:type="gramStart"/>
      <w:r w:rsidRPr="00037DBF">
        <w:rPr>
          <w:rFonts w:cs="Arial"/>
          <w:bCs/>
          <w:strike/>
        </w:rPr>
        <w:t>improrrogáveis</w:t>
      </w:r>
      <w:r w:rsidR="00037DBF">
        <w:rPr>
          <w:rFonts w:cs="Arial"/>
          <w:bCs/>
        </w:rPr>
        <w:t xml:space="preserve"> </w:t>
      </w:r>
      <w:r w:rsidR="00037DBF" w:rsidRPr="00037DBF">
        <w:rPr>
          <w:rFonts w:cs="Arial"/>
          <w:bCs/>
        </w:rPr>
        <w:t>Para</w:t>
      </w:r>
      <w:proofErr w:type="gramEnd"/>
      <w:r w:rsidR="00037DBF" w:rsidRPr="00037DBF">
        <w:rPr>
          <w:rFonts w:cs="Arial"/>
          <w:bCs/>
        </w:rPr>
        <w:t xml:space="preserve"> a utilização da Taxa LCD, as operações </w:t>
      </w:r>
      <w:r w:rsidR="00037DBF" w:rsidRPr="00037DBF">
        <w:rPr>
          <w:rFonts w:cs="Arial"/>
          <w:bCs/>
        </w:rPr>
        <w:lastRenderedPageBreak/>
        <w:t>deverão ter prazo de carência não superior a 24 (vinte e quatro) meses.</w:t>
      </w:r>
      <w:r w:rsidR="00037DBF">
        <w:rPr>
          <w:rFonts w:cs="Arial"/>
          <w:bCs/>
        </w:rPr>
        <w:t xml:space="preserve"> 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(Alterad</w:t>
      </w:r>
      <w:r w:rsidR="00037DBF">
        <w:rPr>
          <w:rFonts w:cs="Arial"/>
          <w:b/>
          <w:bCs/>
          <w:i/>
          <w:iCs/>
          <w:color w:val="002060"/>
          <w:sz w:val="20"/>
        </w:rPr>
        <w:t>o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 xml:space="preserve"> pela Circular SUP/ADIG nº </w:t>
      </w:r>
      <w:r w:rsidR="00037DBF">
        <w:rPr>
          <w:rFonts w:cs="Arial"/>
          <w:b/>
          <w:bCs/>
          <w:i/>
          <w:iCs/>
          <w:color w:val="002060"/>
          <w:sz w:val="20"/>
        </w:rPr>
        <w:t>09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/202</w:t>
      </w:r>
      <w:r w:rsidR="00037DBF">
        <w:rPr>
          <w:rFonts w:cs="Arial"/>
          <w:b/>
          <w:bCs/>
          <w:i/>
          <w:iCs/>
          <w:color w:val="002060"/>
          <w:sz w:val="20"/>
        </w:rPr>
        <w:t>6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 xml:space="preserve">, de </w:t>
      </w:r>
      <w:r w:rsidR="00037DBF">
        <w:rPr>
          <w:rFonts w:cs="Arial"/>
          <w:b/>
          <w:bCs/>
          <w:i/>
          <w:iCs/>
          <w:color w:val="002060"/>
          <w:sz w:val="20"/>
        </w:rPr>
        <w:t>22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.</w:t>
      </w:r>
      <w:r w:rsidR="00037DBF">
        <w:rPr>
          <w:rFonts w:cs="Arial"/>
          <w:b/>
          <w:bCs/>
          <w:i/>
          <w:iCs/>
          <w:color w:val="002060"/>
          <w:sz w:val="20"/>
        </w:rPr>
        <w:t>01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.202</w:t>
      </w:r>
      <w:r w:rsidR="00037DBF">
        <w:rPr>
          <w:rFonts w:cs="Arial"/>
          <w:b/>
          <w:bCs/>
          <w:i/>
          <w:iCs/>
          <w:color w:val="002060"/>
          <w:sz w:val="20"/>
        </w:rPr>
        <w:t>6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)</w:t>
      </w:r>
    </w:p>
    <w:p w14:paraId="5E8248F9" w14:textId="737C5547" w:rsidR="001040FF" w:rsidRDefault="001040FF" w:rsidP="00BA209E">
      <w:pPr>
        <w:pStyle w:val="Corpodetexto"/>
        <w:keepNext/>
        <w:numPr>
          <w:ilvl w:val="1"/>
          <w:numId w:val="6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>
        <w:rPr>
          <w:rFonts w:cs="Arial"/>
          <w:b/>
        </w:rPr>
        <w:t>Prazo de Utilização dos Recursos</w:t>
      </w:r>
    </w:p>
    <w:p w14:paraId="47366ADF" w14:textId="58ADBC16" w:rsidR="001040FF" w:rsidRPr="00423C4F" w:rsidRDefault="001040FF" w:rsidP="004969FA">
      <w:pPr>
        <w:pStyle w:val="Corpodetexto"/>
        <w:keepNext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C91B27">
        <w:rPr>
          <w:rFonts w:cs="Arial"/>
        </w:rPr>
        <w:t xml:space="preserve">Os recursos poderão ser liberados em até 48 (quarenta e oito) meses a partir da </w:t>
      </w:r>
      <w:r w:rsidR="003E7B78">
        <w:rPr>
          <w:rFonts w:cs="Arial"/>
        </w:rPr>
        <w:t>aprovação</w:t>
      </w:r>
      <w:r>
        <w:rPr>
          <w:rFonts w:cs="Arial"/>
        </w:rPr>
        <w:t xml:space="preserve"> da operação</w:t>
      </w:r>
      <w:r w:rsidR="00037DBF">
        <w:rPr>
          <w:rFonts w:cs="Arial"/>
        </w:rPr>
        <w:t xml:space="preserve">, observado que, quando se tratar de operação cujo Custo Financeiro seja a Taxa LCD, também deverá ser respeitado o prazo de </w:t>
      </w:r>
      <w:r w:rsidR="00037DBF" w:rsidRPr="0020639F">
        <w:rPr>
          <w:rFonts w:cs="Arial"/>
        </w:rPr>
        <w:t xml:space="preserve">até </w:t>
      </w:r>
      <w:r w:rsidR="00037DBF">
        <w:rPr>
          <w:rFonts w:cs="Arial"/>
        </w:rPr>
        <w:t>36</w:t>
      </w:r>
      <w:r w:rsidR="00037DBF" w:rsidRPr="0020639F">
        <w:rPr>
          <w:rFonts w:cs="Arial"/>
        </w:rPr>
        <w:t xml:space="preserve"> (</w:t>
      </w:r>
      <w:r w:rsidR="00037DBF">
        <w:rPr>
          <w:rFonts w:cs="Arial"/>
        </w:rPr>
        <w:t>trinta</w:t>
      </w:r>
      <w:r w:rsidR="00037DBF" w:rsidRPr="0020639F">
        <w:rPr>
          <w:rFonts w:cs="Arial"/>
        </w:rPr>
        <w:t xml:space="preserve"> e </w:t>
      </w:r>
      <w:r w:rsidR="00037DBF">
        <w:rPr>
          <w:rFonts w:cs="Arial"/>
        </w:rPr>
        <w:t>seis</w:t>
      </w:r>
      <w:r w:rsidR="00037DBF" w:rsidRPr="0020639F">
        <w:rPr>
          <w:rFonts w:cs="Arial"/>
        </w:rPr>
        <w:t xml:space="preserve">) </w:t>
      </w:r>
      <w:r w:rsidR="00037DBF">
        <w:rPr>
          <w:rFonts w:cs="Arial"/>
        </w:rPr>
        <w:t>meses contados da data da contratação</w:t>
      </w:r>
      <w:r w:rsidR="00037DBF" w:rsidRPr="0020639F">
        <w:rPr>
          <w:rFonts w:cs="Arial"/>
        </w:rPr>
        <w:t xml:space="preserve"> da operação</w:t>
      </w:r>
      <w:r w:rsidR="00037DBF">
        <w:rPr>
          <w:rFonts w:cs="Arial"/>
        </w:rPr>
        <w:t>, improrrogável</w:t>
      </w:r>
      <w:r w:rsidRPr="00423C4F">
        <w:rPr>
          <w:rFonts w:cs="Arial"/>
          <w:bCs/>
        </w:rPr>
        <w:t>.</w:t>
      </w:r>
      <w:r w:rsidR="00037DBF">
        <w:rPr>
          <w:rFonts w:cs="Arial"/>
          <w:bCs/>
        </w:rPr>
        <w:t xml:space="preserve"> 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(Alterad</w:t>
      </w:r>
      <w:r w:rsidR="00037DBF">
        <w:rPr>
          <w:rFonts w:cs="Arial"/>
          <w:b/>
          <w:bCs/>
          <w:i/>
          <w:iCs/>
          <w:color w:val="002060"/>
          <w:sz w:val="20"/>
        </w:rPr>
        <w:t>o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 xml:space="preserve"> pela Circular SUP/ADIG nº </w:t>
      </w:r>
      <w:r w:rsidR="00037DBF">
        <w:rPr>
          <w:rFonts w:cs="Arial"/>
          <w:b/>
          <w:bCs/>
          <w:i/>
          <w:iCs/>
          <w:color w:val="002060"/>
          <w:sz w:val="20"/>
        </w:rPr>
        <w:t>09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/202</w:t>
      </w:r>
      <w:r w:rsidR="00037DBF">
        <w:rPr>
          <w:rFonts w:cs="Arial"/>
          <w:b/>
          <w:bCs/>
          <w:i/>
          <w:iCs/>
          <w:color w:val="002060"/>
          <w:sz w:val="20"/>
        </w:rPr>
        <w:t>6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 xml:space="preserve">, de </w:t>
      </w:r>
      <w:r w:rsidR="00037DBF">
        <w:rPr>
          <w:rFonts w:cs="Arial"/>
          <w:b/>
          <w:bCs/>
          <w:i/>
          <w:iCs/>
          <w:color w:val="002060"/>
          <w:sz w:val="20"/>
        </w:rPr>
        <w:t>22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.</w:t>
      </w:r>
      <w:r w:rsidR="00037DBF">
        <w:rPr>
          <w:rFonts w:cs="Arial"/>
          <w:b/>
          <w:bCs/>
          <w:i/>
          <w:iCs/>
          <w:color w:val="002060"/>
          <w:sz w:val="20"/>
        </w:rPr>
        <w:t>01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.202</w:t>
      </w:r>
      <w:r w:rsidR="00037DBF">
        <w:rPr>
          <w:rFonts w:cs="Arial"/>
          <w:b/>
          <w:bCs/>
          <w:i/>
          <w:iCs/>
          <w:color w:val="002060"/>
          <w:sz w:val="20"/>
        </w:rPr>
        <w:t>6</w:t>
      </w:r>
      <w:r w:rsidR="00037DBF" w:rsidRPr="00883485">
        <w:rPr>
          <w:rFonts w:cs="Arial"/>
          <w:b/>
          <w:bCs/>
          <w:i/>
          <w:iCs/>
          <w:color w:val="002060"/>
          <w:sz w:val="20"/>
        </w:rPr>
        <w:t>)</w:t>
      </w:r>
    </w:p>
    <w:p w14:paraId="592C03F9" w14:textId="77777777" w:rsidR="001040FF" w:rsidRPr="00423C4F" w:rsidRDefault="001040FF" w:rsidP="00BA209E">
      <w:pPr>
        <w:pStyle w:val="Corpodetexto"/>
        <w:keepNext/>
        <w:numPr>
          <w:ilvl w:val="1"/>
          <w:numId w:val="6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F14BC1">
        <w:rPr>
          <w:rFonts w:cs="Arial"/>
          <w:b/>
        </w:rPr>
        <w:t>Valor Mínimo de Financiamento</w:t>
      </w:r>
    </w:p>
    <w:p w14:paraId="08A13E9A" w14:textId="77777777" w:rsidR="001040FF" w:rsidRDefault="001040FF" w:rsidP="004969FA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F14BC1">
        <w:rPr>
          <w:rFonts w:cs="Arial"/>
          <w:bCs/>
        </w:rPr>
        <w:t>R$ 1.000.000,00 (um milhão de reais).</w:t>
      </w:r>
    </w:p>
    <w:p w14:paraId="2CEB56F0" w14:textId="77777777" w:rsidR="001040FF" w:rsidRPr="00423C4F" w:rsidRDefault="001040FF" w:rsidP="00BA209E">
      <w:pPr>
        <w:pStyle w:val="Corpodetexto"/>
        <w:keepNext/>
        <w:numPr>
          <w:ilvl w:val="1"/>
          <w:numId w:val="6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F14BC1">
        <w:rPr>
          <w:rFonts w:cs="Arial"/>
          <w:b/>
        </w:rPr>
        <w:t xml:space="preserve">Valor </w:t>
      </w:r>
      <w:r>
        <w:rPr>
          <w:rFonts w:cs="Arial"/>
          <w:b/>
        </w:rPr>
        <w:t xml:space="preserve">Máximo </w:t>
      </w:r>
      <w:r w:rsidRPr="00F14BC1">
        <w:rPr>
          <w:rFonts w:cs="Arial"/>
          <w:b/>
        </w:rPr>
        <w:t>de Financiamento</w:t>
      </w:r>
    </w:p>
    <w:p w14:paraId="5B73097B" w14:textId="77777777" w:rsidR="001040FF" w:rsidRDefault="001040FF" w:rsidP="004969FA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B01B08">
        <w:rPr>
          <w:rFonts w:cs="Arial"/>
        </w:rPr>
        <w:t xml:space="preserve">Definido com base no limite de crédito disponível para as </w:t>
      </w:r>
      <w:r>
        <w:rPr>
          <w:rFonts w:cs="Arial"/>
        </w:rPr>
        <w:t>I</w:t>
      </w:r>
      <w:r w:rsidRPr="00B01B08">
        <w:rPr>
          <w:rFonts w:cs="Arial"/>
        </w:rPr>
        <w:t xml:space="preserve">nstituições </w:t>
      </w:r>
      <w:r>
        <w:rPr>
          <w:rFonts w:cs="Arial"/>
        </w:rPr>
        <w:t>Fi</w:t>
      </w:r>
      <w:r w:rsidRPr="00B01B08">
        <w:rPr>
          <w:rFonts w:cs="Arial"/>
        </w:rPr>
        <w:t xml:space="preserve">nanceiras </w:t>
      </w:r>
      <w:r>
        <w:rPr>
          <w:rFonts w:cs="Arial"/>
        </w:rPr>
        <w:t>C</w:t>
      </w:r>
      <w:r w:rsidRPr="00B01B08">
        <w:rPr>
          <w:rFonts w:cs="Arial"/>
        </w:rPr>
        <w:t>redenciadas</w:t>
      </w:r>
      <w:r w:rsidRPr="00F14BC1">
        <w:rPr>
          <w:rFonts w:cs="Arial"/>
          <w:bCs/>
        </w:rPr>
        <w:t>.</w:t>
      </w:r>
    </w:p>
    <w:p w14:paraId="1D8C2657" w14:textId="51A5956C" w:rsidR="00F9520F" w:rsidRPr="00F9520F" w:rsidRDefault="00F9520F" w:rsidP="00BA209E">
      <w:pPr>
        <w:pStyle w:val="Corpodetexto"/>
        <w:keepNext/>
        <w:numPr>
          <w:ilvl w:val="1"/>
          <w:numId w:val="6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</w:rPr>
      </w:pPr>
      <w:r w:rsidRPr="00F9520F">
        <w:rPr>
          <w:rFonts w:cs="Arial"/>
          <w:b/>
        </w:rPr>
        <w:t xml:space="preserve">Periodicidade de Pagamento de Juros </w:t>
      </w:r>
    </w:p>
    <w:p w14:paraId="4A8B3BB3" w14:textId="24A79E44" w:rsidR="00F9520F" w:rsidRDefault="00F9520F" w:rsidP="004969FA">
      <w:pPr>
        <w:pStyle w:val="Corpodetexto"/>
        <w:tabs>
          <w:tab w:val="num" w:pos="1276"/>
        </w:tabs>
        <w:spacing w:before="120" w:after="120" w:line="240" w:lineRule="auto"/>
        <w:ind w:left="1276"/>
        <w:rPr>
          <w:rFonts w:cs="Arial"/>
          <w:bCs/>
        </w:rPr>
      </w:pPr>
      <w:r w:rsidRPr="00F9520F">
        <w:rPr>
          <w:rFonts w:cs="Arial"/>
          <w:bCs/>
        </w:rPr>
        <w:t>O Agente Financeiro deverá pagar juros mensais sobre o valor do financiamento, inclusive durante o prazo de carência.</w:t>
      </w:r>
    </w:p>
    <w:p w14:paraId="716D9C3A" w14:textId="08611C21" w:rsidR="001040FF" w:rsidRDefault="001040FF" w:rsidP="00E4425E">
      <w:pPr>
        <w:pStyle w:val="Corpodetexto"/>
        <w:keepNext/>
        <w:numPr>
          <w:ilvl w:val="0"/>
          <w:numId w:val="1"/>
        </w:numPr>
        <w:tabs>
          <w:tab w:val="clear" w:pos="644"/>
          <w:tab w:val="left" w:pos="567"/>
        </w:tabs>
        <w:spacing w:before="360" w:after="240" w:line="240" w:lineRule="auto"/>
        <w:ind w:left="567" w:hanging="567"/>
        <w:rPr>
          <w:rFonts w:cs="Arial"/>
          <w:b/>
        </w:rPr>
      </w:pPr>
      <w:r>
        <w:rPr>
          <w:rFonts w:cs="Arial"/>
          <w:b/>
        </w:rPr>
        <w:t>OBR</w:t>
      </w:r>
      <w:r w:rsidR="00575B5F">
        <w:rPr>
          <w:rFonts w:cs="Arial"/>
          <w:b/>
        </w:rPr>
        <w:t>I</w:t>
      </w:r>
      <w:r>
        <w:rPr>
          <w:rFonts w:cs="Arial"/>
          <w:b/>
        </w:rPr>
        <w:t>GAÇÕES PARA AGENTES FINANCEIROS</w:t>
      </w:r>
      <w:r w:rsidR="004E3787">
        <w:rPr>
          <w:rFonts w:cs="Arial"/>
          <w:b/>
        </w:rPr>
        <w:t xml:space="preserve"> </w:t>
      </w:r>
    </w:p>
    <w:p w14:paraId="150F51E3" w14:textId="39EC174F" w:rsidR="001040FF" w:rsidRDefault="00D32068" w:rsidP="00BA209E">
      <w:pPr>
        <w:pStyle w:val="Corpodetexto"/>
        <w:keepNext/>
        <w:numPr>
          <w:ilvl w:val="1"/>
          <w:numId w:val="7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  <w:bCs/>
        </w:rPr>
      </w:pPr>
      <w:r w:rsidRPr="00D32068">
        <w:rPr>
          <w:rFonts w:cs="Arial"/>
          <w:b/>
          <w:bCs/>
        </w:rPr>
        <w:t>Para Agentes de 1º piso</w:t>
      </w:r>
      <w:r w:rsidR="001040FF" w:rsidRPr="00D32068">
        <w:rPr>
          <w:rFonts w:cs="Arial"/>
          <w:b/>
          <w:bCs/>
        </w:rPr>
        <w:t>:</w:t>
      </w:r>
    </w:p>
    <w:p w14:paraId="374D39C0" w14:textId="3437F873" w:rsidR="00D32068" w:rsidRPr="00D32068" w:rsidRDefault="00D32068" w:rsidP="00216FA8">
      <w:pPr>
        <w:pStyle w:val="Corpodetexto"/>
        <w:spacing w:before="120" w:after="120" w:line="240" w:lineRule="auto"/>
        <w:ind w:left="1276"/>
        <w:rPr>
          <w:rFonts w:cs="Arial"/>
          <w:b/>
          <w:bCs/>
        </w:rPr>
      </w:pPr>
      <w:r w:rsidRPr="004B6AA4">
        <w:rPr>
          <w:rFonts w:cs="Arial"/>
        </w:rPr>
        <w:t>Serão exigidas, cumulativamente, as seguintes condições de aplicação dos recursos financiados</w:t>
      </w:r>
      <w:r>
        <w:rPr>
          <w:rFonts w:cs="Arial"/>
        </w:rPr>
        <w:t>:</w:t>
      </w:r>
    </w:p>
    <w:p w14:paraId="30C5C6DE" w14:textId="34CD8565" w:rsidR="001040FF" w:rsidRPr="001040FF" w:rsidRDefault="001040FF" w:rsidP="00216FA8">
      <w:pPr>
        <w:pStyle w:val="Corpodetexto"/>
        <w:numPr>
          <w:ilvl w:val="4"/>
          <w:numId w:val="1"/>
        </w:numPr>
        <w:tabs>
          <w:tab w:val="clear" w:pos="1364"/>
          <w:tab w:val="left" w:pos="1701"/>
        </w:tabs>
        <w:spacing w:before="120" w:after="120" w:line="240" w:lineRule="auto"/>
        <w:ind w:left="1701" w:hanging="425"/>
        <w:rPr>
          <w:rFonts w:cs="Arial"/>
          <w:bCs/>
        </w:rPr>
      </w:pPr>
      <w:r w:rsidRPr="00A14783">
        <w:rPr>
          <w:rFonts w:cs="Arial"/>
        </w:rPr>
        <w:t xml:space="preserve">Como condição para liberação de cada uma das parcelas do crédito, posteriores à primeira, a comprovação de aplicação mínima de 110% (cento e dez por cento) dos </w:t>
      </w:r>
      <w:r w:rsidRPr="001040FF">
        <w:rPr>
          <w:rFonts w:cs="Arial"/>
        </w:rPr>
        <w:t>recursos liberados</w:t>
      </w:r>
      <w:r w:rsidRPr="00A14783">
        <w:rPr>
          <w:rFonts w:cs="Arial"/>
        </w:rPr>
        <w:t xml:space="preserve"> pelo BNDES, em operações </w:t>
      </w:r>
      <w:r w:rsidRPr="00497064">
        <w:rPr>
          <w:rFonts w:cs="Arial"/>
        </w:rPr>
        <w:t>de microcrédito. O</w:t>
      </w:r>
      <w:r w:rsidRPr="00A14783">
        <w:rPr>
          <w:rFonts w:cs="Arial"/>
        </w:rPr>
        <w:t xml:space="preserve"> referido índice deverá ser atingido no prazo de até 6 (seis) meses a contar do recebimento de cada </w:t>
      </w:r>
      <w:r>
        <w:rPr>
          <w:rFonts w:cs="Arial"/>
        </w:rPr>
        <w:t>parcela</w:t>
      </w:r>
      <w:r w:rsidR="009343F5">
        <w:rPr>
          <w:rFonts w:cs="Arial"/>
        </w:rPr>
        <w:t>.</w:t>
      </w:r>
    </w:p>
    <w:p w14:paraId="36B331D5" w14:textId="5AE5E962" w:rsidR="001040FF" w:rsidRDefault="001040FF" w:rsidP="00216FA8">
      <w:pPr>
        <w:pStyle w:val="Corpodetexto"/>
        <w:numPr>
          <w:ilvl w:val="4"/>
          <w:numId w:val="1"/>
        </w:numPr>
        <w:tabs>
          <w:tab w:val="clear" w:pos="1364"/>
          <w:tab w:val="num" w:pos="1134"/>
          <w:tab w:val="left" w:pos="1701"/>
        </w:tabs>
        <w:spacing w:before="120" w:after="120" w:line="240" w:lineRule="auto"/>
        <w:ind w:left="1701" w:hanging="425"/>
        <w:rPr>
          <w:rFonts w:cs="Arial"/>
        </w:rPr>
      </w:pPr>
      <w:r w:rsidRPr="004649FC">
        <w:rPr>
          <w:rFonts w:cs="Arial"/>
        </w:rPr>
        <w:t xml:space="preserve">Comprovação trimestral, durante toda a vigência do financiamento, de que, no mínimo </w:t>
      </w:r>
      <w:r>
        <w:rPr>
          <w:rFonts w:cs="Arial"/>
        </w:rPr>
        <w:t>110</w:t>
      </w:r>
      <w:r w:rsidRPr="004649FC">
        <w:rPr>
          <w:rFonts w:cs="Arial"/>
        </w:rPr>
        <w:t>% (</w:t>
      </w:r>
      <w:r>
        <w:rPr>
          <w:rFonts w:cs="Arial"/>
        </w:rPr>
        <w:t>cento e dez</w:t>
      </w:r>
      <w:r w:rsidRPr="004649FC">
        <w:rPr>
          <w:rFonts w:cs="Arial"/>
        </w:rPr>
        <w:t xml:space="preserve"> por cento) dos </w:t>
      </w:r>
      <w:r w:rsidRPr="00515887">
        <w:rPr>
          <w:rFonts w:cs="Arial"/>
        </w:rPr>
        <w:t xml:space="preserve">recursos </w:t>
      </w:r>
      <w:r>
        <w:rPr>
          <w:rFonts w:cs="Arial"/>
        </w:rPr>
        <w:t>liberados</w:t>
      </w:r>
      <w:r w:rsidRPr="004649FC">
        <w:rPr>
          <w:rFonts w:cs="Arial"/>
        </w:rPr>
        <w:t xml:space="preserve">, estejam aplicados em microcrédito, observado o prazo de atingimento do índice mínimo previsto </w:t>
      </w:r>
      <w:r>
        <w:rPr>
          <w:rFonts w:cs="Arial"/>
        </w:rPr>
        <w:t>n</w:t>
      </w:r>
      <w:r w:rsidR="00216FA8">
        <w:rPr>
          <w:rFonts w:cs="Arial"/>
        </w:rPr>
        <w:t>a alínea “a” d</w:t>
      </w:r>
      <w:r>
        <w:rPr>
          <w:rFonts w:cs="Arial"/>
        </w:rPr>
        <w:t>o item 11.1.</w:t>
      </w:r>
    </w:p>
    <w:p w14:paraId="30F6FC85" w14:textId="1EDF0411" w:rsidR="00D32068" w:rsidRDefault="00D32068" w:rsidP="00BA209E">
      <w:pPr>
        <w:pStyle w:val="Corpodetexto"/>
        <w:keepNext/>
        <w:numPr>
          <w:ilvl w:val="1"/>
          <w:numId w:val="7"/>
        </w:numPr>
        <w:tabs>
          <w:tab w:val="num" w:pos="1276"/>
        </w:tabs>
        <w:spacing w:before="120" w:after="120" w:line="240" w:lineRule="auto"/>
        <w:ind w:left="1276" w:hanging="709"/>
        <w:rPr>
          <w:rFonts w:cs="Arial"/>
          <w:b/>
          <w:bCs/>
        </w:rPr>
      </w:pPr>
      <w:r w:rsidRPr="00D32068">
        <w:rPr>
          <w:rFonts w:cs="Arial"/>
          <w:b/>
          <w:bCs/>
        </w:rPr>
        <w:t xml:space="preserve">Para Agentes de </w:t>
      </w:r>
      <w:r>
        <w:rPr>
          <w:rFonts w:cs="Arial"/>
          <w:b/>
          <w:bCs/>
        </w:rPr>
        <w:t>2</w:t>
      </w:r>
      <w:r w:rsidRPr="00D32068">
        <w:rPr>
          <w:rFonts w:cs="Arial"/>
          <w:b/>
          <w:bCs/>
        </w:rPr>
        <w:t>º piso:</w:t>
      </w:r>
    </w:p>
    <w:p w14:paraId="0E42562F" w14:textId="5AAE357C" w:rsidR="00D32068" w:rsidRPr="00D32068" w:rsidRDefault="00D32068" w:rsidP="00BA209E">
      <w:pPr>
        <w:pStyle w:val="Corpodetexto"/>
        <w:numPr>
          <w:ilvl w:val="0"/>
          <w:numId w:val="8"/>
        </w:numPr>
        <w:spacing w:before="120" w:after="120" w:line="240" w:lineRule="auto"/>
        <w:ind w:left="1701" w:hanging="425"/>
        <w:rPr>
          <w:rFonts w:cs="Arial"/>
          <w:b/>
          <w:bCs/>
        </w:rPr>
      </w:pPr>
      <w:r>
        <w:rPr>
          <w:rFonts w:cs="Arial"/>
        </w:rPr>
        <w:t>O</w:t>
      </w:r>
      <w:r w:rsidRPr="00A23ED6">
        <w:rPr>
          <w:rFonts w:cs="Arial"/>
        </w:rPr>
        <w:t xml:space="preserve"> Agente Financeiro deverá, no prazo máximo de 1 (um) dia útil após a liberação, transferir aos Agentes Operadores de 1º piso indicados na Ficha </w:t>
      </w:r>
      <w:r w:rsidRPr="00340A96">
        <w:rPr>
          <w:rFonts w:cs="Arial"/>
        </w:rPr>
        <w:t>Reserva de Crédito para Microcrédito os recursos que lhe forem creditados</w:t>
      </w:r>
      <w:r>
        <w:rPr>
          <w:rFonts w:cs="Arial"/>
        </w:rPr>
        <w:t>.</w:t>
      </w:r>
    </w:p>
    <w:p w14:paraId="4433185A" w14:textId="78E38B6E" w:rsidR="00D32068" w:rsidRPr="00216FA8" w:rsidRDefault="00D32068" w:rsidP="00BA209E">
      <w:pPr>
        <w:pStyle w:val="Corpodetexto"/>
        <w:numPr>
          <w:ilvl w:val="0"/>
          <w:numId w:val="8"/>
        </w:numPr>
        <w:spacing w:before="120" w:after="120" w:line="240" w:lineRule="auto"/>
        <w:ind w:left="1701" w:hanging="425"/>
        <w:rPr>
          <w:rFonts w:cs="Arial"/>
        </w:rPr>
      </w:pPr>
      <w:r w:rsidRPr="00340A96">
        <w:rPr>
          <w:rFonts w:cs="Arial"/>
        </w:rPr>
        <w:t>Caberá ao Agente enviar ao BNDES o extrato de transferência dos recursos e o instrumento de crédito que baliz</w:t>
      </w:r>
      <w:r>
        <w:rPr>
          <w:rFonts w:cs="Arial"/>
        </w:rPr>
        <w:t>ou</w:t>
      </w:r>
      <w:r w:rsidRPr="00340A96">
        <w:rPr>
          <w:rFonts w:cs="Arial"/>
        </w:rPr>
        <w:t xml:space="preserve"> a operaç</w:t>
      </w:r>
      <w:r>
        <w:rPr>
          <w:rFonts w:cs="Arial"/>
        </w:rPr>
        <w:t>ão</w:t>
      </w:r>
      <w:r w:rsidRPr="00340A96">
        <w:rPr>
          <w:rFonts w:cs="Arial"/>
        </w:rPr>
        <w:t xml:space="preserve"> </w:t>
      </w:r>
      <w:r>
        <w:rPr>
          <w:rFonts w:cs="Arial"/>
        </w:rPr>
        <w:t xml:space="preserve">com o Agente </w:t>
      </w:r>
      <w:r w:rsidRPr="00340A96">
        <w:rPr>
          <w:rFonts w:cs="Arial"/>
        </w:rPr>
        <w:t>de 2º piso</w:t>
      </w:r>
      <w:r>
        <w:rPr>
          <w:rFonts w:cs="Arial"/>
        </w:rPr>
        <w:t>, em até 15 dias,</w:t>
      </w:r>
      <w:r w:rsidRPr="00340A96">
        <w:rPr>
          <w:rFonts w:cs="Arial"/>
        </w:rPr>
        <w:t xml:space="preserve"> para fins de comprovação, bem como assegurar </w:t>
      </w:r>
      <w:r>
        <w:rPr>
          <w:rFonts w:cs="Arial"/>
        </w:rPr>
        <w:t>e comprovar</w:t>
      </w:r>
      <w:r w:rsidRPr="00340A96">
        <w:rPr>
          <w:rFonts w:cs="Arial"/>
        </w:rPr>
        <w:t xml:space="preserve"> que as </w:t>
      </w:r>
      <w:r w:rsidRPr="00212BC2">
        <w:rPr>
          <w:rFonts w:cs="Arial"/>
        </w:rPr>
        <w:t>IMPOs</w:t>
      </w:r>
      <w:r w:rsidRPr="00340A96">
        <w:rPr>
          <w:rFonts w:cs="Arial"/>
        </w:rPr>
        <w:t xml:space="preserve"> cumpram as exigências previstas no item </w:t>
      </w:r>
      <w:r w:rsidR="00212BC2">
        <w:rPr>
          <w:rFonts w:cs="Arial"/>
        </w:rPr>
        <w:t>11.1</w:t>
      </w:r>
      <w:r>
        <w:rPr>
          <w:rFonts w:cs="Arial"/>
        </w:rPr>
        <w:t>.</w:t>
      </w:r>
    </w:p>
    <w:p w14:paraId="1D5ED716" w14:textId="1C643A46" w:rsidR="00D32068" w:rsidRDefault="00D32068" w:rsidP="00BA209E">
      <w:pPr>
        <w:pStyle w:val="Corpodetexto"/>
        <w:numPr>
          <w:ilvl w:val="0"/>
          <w:numId w:val="8"/>
        </w:numPr>
        <w:spacing w:before="120" w:after="120" w:line="240" w:lineRule="auto"/>
        <w:ind w:left="1701" w:hanging="425"/>
        <w:rPr>
          <w:rFonts w:cs="Arial"/>
        </w:rPr>
      </w:pPr>
      <w:r w:rsidRPr="00412166">
        <w:rPr>
          <w:rFonts w:cs="Arial"/>
        </w:rPr>
        <w:t xml:space="preserve">Os recursos do BNDES utilizados para o financiamento das operações de microcrédito </w:t>
      </w:r>
      <w:r w:rsidRPr="00212BC2">
        <w:rPr>
          <w:rFonts w:cs="Arial"/>
        </w:rPr>
        <w:t>poderão se</w:t>
      </w:r>
      <w:r w:rsidRPr="00412166">
        <w:rPr>
          <w:rFonts w:cs="Arial"/>
        </w:rPr>
        <w:t xml:space="preserve">r registrados </w:t>
      </w:r>
      <w:r>
        <w:rPr>
          <w:rFonts w:cs="Arial"/>
        </w:rPr>
        <w:t xml:space="preserve">pelo Agente Financeiro </w:t>
      </w:r>
      <w:r w:rsidRPr="00412166">
        <w:rPr>
          <w:rFonts w:cs="Arial"/>
        </w:rPr>
        <w:t xml:space="preserve">em uma conta contábil específica para </w:t>
      </w:r>
      <w:r>
        <w:rPr>
          <w:rFonts w:cs="Arial"/>
        </w:rPr>
        <w:t xml:space="preserve">cada uma das linhas do </w:t>
      </w:r>
      <w:r w:rsidRPr="00412166">
        <w:rPr>
          <w:rFonts w:cs="Arial"/>
        </w:rPr>
        <w:t>Produto BNDES Microcrédito, para fins de comprovação</w:t>
      </w:r>
      <w:r>
        <w:rPr>
          <w:rFonts w:cs="Arial"/>
        </w:rPr>
        <w:t>.</w:t>
      </w:r>
    </w:p>
    <w:p w14:paraId="456865AF" w14:textId="77777777" w:rsidR="00194A50" w:rsidRDefault="003D6451" w:rsidP="00216FA8">
      <w:pPr>
        <w:pStyle w:val="Corpodetexto"/>
        <w:keepNext/>
        <w:numPr>
          <w:ilvl w:val="0"/>
          <w:numId w:val="1"/>
        </w:numPr>
        <w:tabs>
          <w:tab w:val="clear" w:pos="644"/>
          <w:tab w:val="left" w:pos="567"/>
        </w:tabs>
        <w:spacing w:before="360" w:after="240" w:line="240" w:lineRule="auto"/>
        <w:ind w:left="567" w:hanging="567"/>
        <w:rPr>
          <w:rFonts w:cs="Arial"/>
          <w:b/>
        </w:rPr>
      </w:pPr>
      <w:r w:rsidRPr="00086A44">
        <w:rPr>
          <w:rFonts w:cs="Arial"/>
          <w:b/>
        </w:rPr>
        <w:lastRenderedPageBreak/>
        <w:t>INADIMPLEMENTO</w:t>
      </w:r>
    </w:p>
    <w:p w14:paraId="04D5CD99" w14:textId="430695FE" w:rsidR="00226976" w:rsidRPr="00226976" w:rsidRDefault="00226976" w:rsidP="00BA209E">
      <w:pPr>
        <w:pStyle w:val="Corpodetexto"/>
        <w:numPr>
          <w:ilvl w:val="1"/>
          <w:numId w:val="9"/>
        </w:numPr>
        <w:tabs>
          <w:tab w:val="left" w:pos="1276"/>
        </w:tabs>
        <w:spacing w:before="120" w:after="120" w:line="240" w:lineRule="auto"/>
        <w:ind w:left="1276" w:hanging="709"/>
        <w:rPr>
          <w:rFonts w:cs="Arial"/>
          <w:bCs/>
        </w:rPr>
      </w:pPr>
      <w:r w:rsidRPr="00226976">
        <w:rPr>
          <w:rFonts w:cs="Arial"/>
          <w:bCs/>
        </w:rPr>
        <w:t xml:space="preserve">No </w:t>
      </w:r>
      <w:r w:rsidRPr="0078775C">
        <w:rPr>
          <w:rFonts w:cs="Arial"/>
          <w:bCs/>
        </w:rPr>
        <w:t>caso de descumprimento do Índice de Aplicação de Recursos para Agentes Financeiros, previsto nos itens 4.8 e 4.9 do Anexo I</w:t>
      </w:r>
      <w:r w:rsidR="00D7750D" w:rsidRPr="0078775C">
        <w:rPr>
          <w:rFonts w:cs="Arial"/>
          <w:bCs/>
        </w:rPr>
        <w:t xml:space="preserve"> – Procedimentos Operacionais</w:t>
      </w:r>
      <w:r w:rsidRPr="0078775C">
        <w:rPr>
          <w:rFonts w:cs="Arial"/>
          <w:bCs/>
        </w:rPr>
        <w:t>, o BNDES irá comunicar o fato, podendo conceder prazo de até 90 (noventa) dias para os ajustes cabíveis, exceto quando houver disposição em sentido contrário.</w:t>
      </w:r>
    </w:p>
    <w:p w14:paraId="193D1EC8" w14:textId="3EB9AB1C" w:rsidR="00226976" w:rsidRDefault="00226976" w:rsidP="00BA209E">
      <w:pPr>
        <w:pStyle w:val="Corpodetexto"/>
        <w:numPr>
          <w:ilvl w:val="1"/>
          <w:numId w:val="9"/>
        </w:numPr>
        <w:tabs>
          <w:tab w:val="left" w:pos="1276"/>
        </w:tabs>
        <w:spacing w:before="120" w:after="120" w:line="240" w:lineRule="auto"/>
        <w:ind w:left="1276" w:hanging="709"/>
        <w:rPr>
          <w:rFonts w:cs="Arial"/>
          <w:bCs/>
        </w:rPr>
      </w:pPr>
      <w:r w:rsidRPr="00226976">
        <w:rPr>
          <w:rFonts w:cs="Arial"/>
          <w:bCs/>
        </w:rPr>
        <w:t xml:space="preserve">Caso o descumprimento </w:t>
      </w:r>
      <w:r w:rsidRPr="00EF071D">
        <w:rPr>
          <w:rFonts w:cs="Arial"/>
          <w:bCs/>
        </w:rPr>
        <w:t>do item 1</w:t>
      </w:r>
      <w:r w:rsidR="005178AD" w:rsidRPr="00EF071D">
        <w:rPr>
          <w:rFonts w:cs="Arial"/>
          <w:bCs/>
        </w:rPr>
        <w:t>2</w:t>
      </w:r>
      <w:r w:rsidRPr="00EF071D">
        <w:rPr>
          <w:rFonts w:cs="Arial"/>
          <w:bCs/>
        </w:rPr>
        <w:t>.1</w:t>
      </w:r>
      <w:r w:rsidRPr="00226976">
        <w:rPr>
          <w:rFonts w:cs="Arial"/>
          <w:bCs/>
        </w:rPr>
        <w:t xml:space="preserve"> não seja sanado </w:t>
      </w:r>
      <w:r w:rsidRPr="00EF071D">
        <w:rPr>
          <w:rFonts w:cs="Arial"/>
          <w:bCs/>
        </w:rPr>
        <w:t>no prazo ofertado</w:t>
      </w:r>
      <w:r w:rsidRPr="00226976">
        <w:rPr>
          <w:rFonts w:cs="Arial"/>
          <w:bCs/>
        </w:rPr>
        <w:t>, será implementada a amortização do saldo devedor, de acordo com as hipóteses abaixo:</w:t>
      </w:r>
    </w:p>
    <w:p w14:paraId="58D29AF9" w14:textId="612976F5" w:rsidR="00226976" w:rsidRPr="00226976" w:rsidRDefault="00226976" w:rsidP="00BA209E">
      <w:pPr>
        <w:pStyle w:val="Corpodetexto"/>
        <w:numPr>
          <w:ilvl w:val="2"/>
          <w:numId w:val="9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  <w:bCs/>
        </w:rPr>
      </w:pPr>
      <w:r w:rsidRPr="00226976">
        <w:rPr>
          <w:rFonts w:cs="Arial"/>
          <w:bCs/>
        </w:rPr>
        <w:t>Financiamento encontrar-se em período de carência: início imediato do período de amortização em até 48 (quarenta e oito) parcelas;</w:t>
      </w:r>
    </w:p>
    <w:p w14:paraId="229024C4" w14:textId="49454E9A" w:rsidR="00226976" w:rsidRPr="00226976" w:rsidRDefault="00226976" w:rsidP="00BA209E">
      <w:pPr>
        <w:pStyle w:val="Corpodetexto"/>
        <w:numPr>
          <w:ilvl w:val="2"/>
          <w:numId w:val="9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  <w:bCs/>
        </w:rPr>
      </w:pPr>
      <w:r w:rsidRPr="00226976">
        <w:rPr>
          <w:rFonts w:cs="Arial"/>
          <w:bCs/>
        </w:rPr>
        <w:t>Financiamento encontrar-se em período de amortização: antecipação das parcelas restantes, de forma a reduzir o seu período de pagamento para dois terços (2/3) do prazo originalmente previsto.</w:t>
      </w:r>
    </w:p>
    <w:p w14:paraId="20DC18A8" w14:textId="5C75D233" w:rsidR="00226976" w:rsidRPr="00D80CA1" w:rsidRDefault="00226976" w:rsidP="00BA209E">
      <w:pPr>
        <w:pStyle w:val="Corpodetexto"/>
        <w:numPr>
          <w:ilvl w:val="1"/>
          <w:numId w:val="9"/>
        </w:numPr>
        <w:tabs>
          <w:tab w:val="left" w:pos="1276"/>
        </w:tabs>
        <w:spacing w:before="120" w:after="120" w:line="240" w:lineRule="auto"/>
        <w:ind w:left="1276" w:hanging="709"/>
        <w:rPr>
          <w:rFonts w:cs="Arial"/>
          <w:bCs/>
        </w:rPr>
      </w:pPr>
      <w:r w:rsidRPr="00226976">
        <w:rPr>
          <w:rFonts w:cs="Arial"/>
          <w:bCs/>
        </w:rPr>
        <w:t xml:space="preserve">Havendo a manutenção ou existindo novos inadimplementos das obrigações assumidas pelo Agente </w:t>
      </w:r>
      <w:r w:rsidRPr="00D80CA1">
        <w:rPr>
          <w:rFonts w:cs="Arial"/>
          <w:bCs/>
        </w:rPr>
        <w:t xml:space="preserve">Financeiro, sem prejuízo das providências e penalidades anteriormente aplicadas, será observado, ainda, o disposto nos artigos 39 a 47-A das “Disposições Aplicáveis aos Contratos do BNDES”, disponíveis no endereço eletrônico </w:t>
      </w:r>
      <w:r w:rsidRPr="00EF071D">
        <w:rPr>
          <w:rFonts w:cs="Arial"/>
          <w:b/>
        </w:rPr>
        <w:t>http</w:t>
      </w:r>
      <w:r w:rsidR="00EF071D">
        <w:rPr>
          <w:rFonts w:cs="Arial"/>
          <w:b/>
        </w:rPr>
        <w:t>s</w:t>
      </w:r>
      <w:r w:rsidRPr="00EF071D">
        <w:rPr>
          <w:rFonts w:cs="Arial"/>
          <w:b/>
        </w:rPr>
        <w:t>://www.bndes.gov.br</w:t>
      </w:r>
      <w:r w:rsidRPr="00D80CA1">
        <w:rPr>
          <w:rFonts w:cs="Arial"/>
          <w:bCs/>
        </w:rPr>
        <w:t>.</w:t>
      </w:r>
    </w:p>
    <w:p w14:paraId="31BFE725" w14:textId="77777777" w:rsidR="00194A50" w:rsidRPr="00D80CA1" w:rsidRDefault="003D6451" w:rsidP="00216FA8">
      <w:pPr>
        <w:pStyle w:val="Corpodetexto"/>
        <w:keepNext/>
        <w:numPr>
          <w:ilvl w:val="0"/>
          <w:numId w:val="1"/>
        </w:numPr>
        <w:tabs>
          <w:tab w:val="clear" w:pos="644"/>
          <w:tab w:val="left" w:pos="567"/>
        </w:tabs>
        <w:spacing w:before="360" w:after="240" w:line="240" w:lineRule="auto"/>
        <w:ind w:left="567" w:hanging="567"/>
        <w:rPr>
          <w:rFonts w:cs="Arial"/>
          <w:b/>
        </w:rPr>
      </w:pPr>
      <w:r w:rsidRPr="00D80CA1">
        <w:rPr>
          <w:rFonts w:cs="Arial"/>
          <w:b/>
        </w:rPr>
        <w:t>ENCARGOS MORATÓRIOS</w:t>
      </w:r>
    </w:p>
    <w:p w14:paraId="2A13553A" w14:textId="2F0DDAF3" w:rsidR="009B17FA" w:rsidRDefault="009B17FA" w:rsidP="00226976">
      <w:pPr>
        <w:pStyle w:val="Corpodetexto"/>
        <w:spacing w:before="120" w:after="120" w:line="240" w:lineRule="auto"/>
        <w:ind w:left="567"/>
        <w:rPr>
          <w:rFonts w:cs="Arial"/>
        </w:rPr>
      </w:pPr>
      <w:r w:rsidRPr="00D80CA1">
        <w:rPr>
          <w:rFonts w:cs="Arial"/>
        </w:rPr>
        <w:t xml:space="preserve">Em caso de inadimplemento financeiro do Agente Financeiro, o BNDES cobrará encargos moratórios, nos termos do disposto nos artigos 42 </w:t>
      </w:r>
      <w:r w:rsidR="000C5AFE" w:rsidRPr="00D80CA1">
        <w:rPr>
          <w:rFonts w:cs="Arial"/>
        </w:rPr>
        <w:t xml:space="preserve">a 46 </w:t>
      </w:r>
      <w:r w:rsidRPr="00D80CA1">
        <w:rPr>
          <w:rFonts w:cs="Arial"/>
        </w:rPr>
        <w:t>das “Disposições Aplicáveis aos Contratos do BNDES”</w:t>
      </w:r>
      <w:r w:rsidR="006C774E" w:rsidRPr="00D80CA1">
        <w:rPr>
          <w:rFonts w:cs="Arial"/>
        </w:rPr>
        <w:t xml:space="preserve">, </w:t>
      </w:r>
      <w:r w:rsidR="006C774E" w:rsidRPr="00D80CA1">
        <w:rPr>
          <w:rFonts w:cs="Arial"/>
          <w:bCs/>
          <w:snapToGrid w:val="0"/>
        </w:rPr>
        <w:t xml:space="preserve">disponíveis no endereço eletrônico </w:t>
      </w:r>
      <w:r w:rsidR="009D65CF" w:rsidRPr="009D65CF">
        <w:rPr>
          <w:rFonts w:cs="Arial"/>
          <w:b/>
          <w:bCs/>
          <w:snapToGrid w:val="0"/>
        </w:rPr>
        <w:t>http</w:t>
      </w:r>
      <w:r w:rsidR="009D65CF">
        <w:rPr>
          <w:rFonts w:cs="Arial"/>
          <w:b/>
          <w:bCs/>
          <w:snapToGrid w:val="0"/>
        </w:rPr>
        <w:t>s</w:t>
      </w:r>
      <w:r w:rsidR="009D65CF" w:rsidRPr="009D65CF">
        <w:rPr>
          <w:rFonts w:cs="Arial"/>
          <w:b/>
          <w:bCs/>
          <w:snapToGrid w:val="0"/>
        </w:rPr>
        <w:t>://www.bndes.gov.br</w:t>
      </w:r>
      <w:r w:rsidRPr="00D80CA1">
        <w:rPr>
          <w:rFonts w:cs="Arial"/>
        </w:rPr>
        <w:t>.</w:t>
      </w:r>
    </w:p>
    <w:p w14:paraId="42B9634B" w14:textId="378754A8" w:rsidR="00194A50" w:rsidRPr="007439D6" w:rsidRDefault="003D6451" w:rsidP="00216FA8">
      <w:pPr>
        <w:pStyle w:val="Corpodetexto"/>
        <w:keepNext/>
        <w:numPr>
          <w:ilvl w:val="0"/>
          <w:numId w:val="1"/>
        </w:numPr>
        <w:tabs>
          <w:tab w:val="clear" w:pos="644"/>
          <w:tab w:val="left" w:pos="567"/>
        </w:tabs>
        <w:spacing w:before="360" w:after="240" w:line="240" w:lineRule="auto"/>
        <w:ind w:left="567" w:hanging="567"/>
        <w:rPr>
          <w:rFonts w:cs="Arial"/>
          <w:b/>
        </w:rPr>
      </w:pPr>
      <w:r w:rsidRPr="007439D6">
        <w:rPr>
          <w:rFonts w:cs="Arial"/>
          <w:b/>
        </w:rPr>
        <w:t>VENCIMENTO ANTECIPADO</w:t>
      </w:r>
    </w:p>
    <w:p w14:paraId="5D230A30" w14:textId="41956FBF" w:rsidR="00656D90" w:rsidRPr="00656D90" w:rsidRDefault="00194A50" w:rsidP="00BA209E">
      <w:pPr>
        <w:pStyle w:val="Corpodetexto"/>
        <w:numPr>
          <w:ilvl w:val="1"/>
          <w:numId w:val="10"/>
        </w:numPr>
        <w:tabs>
          <w:tab w:val="left" w:pos="1276"/>
        </w:tabs>
        <w:spacing w:before="120" w:after="120" w:line="240" w:lineRule="auto"/>
        <w:ind w:left="1276" w:hanging="709"/>
        <w:rPr>
          <w:rFonts w:cs="Arial"/>
        </w:rPr>
      </w:pPr>
      <w:r w:rsidRPr="007439D6">
        <w:rPr>
          <w:rFonts w:cs="Arial"/>
        </w:rPr>
        <w:t xml:space="preserve">O BNDES poderá declarar vencida antecipadamente a operação, com a exigibilidade da dívida e imediata sustação de qualquer desembolso, </w:t>
      </w:r>
      <w:r w:rsidR="00656D90">
        <w:rPr>
          <w:rFonts w:cs="Arial"/>
        </w:rPr>
        <w:t xml:space="preserve">se, além </w:t>
      </w:r>
      <w:r w:rsidR="004054C8">
        <w:rPr>
          <w:rFonts w:cs="Arial"/>
        </w:rPr>
        <w:t>d</w:t>
      </w:r>
      <w:r w:rsidRPr="007439D6">
        <w:rPr>
          <w:rFonts w:cs="Arial"/>
        </w:rPr>
        <w:t xml:space="preserve">as hipóteses previstas </w:t>
      </w:r>
      <w:r w:rsidRPr="00D80CA1">
        <w:rPr>
          <w:rFonts w:cs="Arial"/>
        </w:rPr>
        <w:t>nos artigos 39 e 40 das “</w:t>
      </w:r>
      <w:r w:rsidR="00F65F2F" w:rsidRPr="00D80CA1">
        <w:rPr>
          <w:rFonts w:cs="Arial"/>
        </w:rPr>
        <w:t>Disposições Aplicáveis</w:t>
      </w:r>
      <w:r w:rsidR="00F65F2F" w:rsidRPr="0075108A">
        <w:rPr>
          <w:rFonts w:cs="Arial"/>
        </w:rPr>
        <w:t xml:space="preserve"> aos Contratos do BNDES</w:t>
      </w:r>
      <w:r w:rsidRPr="00BE3627">
        <w:rPr>
          <w:rFonts w:cs="Arial"/>
        </w:rPr>
        <w:t>”</w:t>
      </w:r>
      <w:r w:rsidR="00656D90">
        <w:rPr>
          <w:rFonts w:cs="Arial"/>
        </w:rPr>
        <w:t xml:space="preserve">, </w:t>
      </w:r>
      <w:r w:rsidR="00656D90">
        <w:t xml:space="preserve">forem comprovados pelo BNDES: </w:t>
      </w:r>
    </w:p>
    <w:p w14:paraId="244ABA64" w14:textId="77777777" w:rsidR="00656D90" w:rsidRDefault="00656D90" w:rsidP="00BA209E">
      <w:pPr>
        <w:pStyle w:val="Corpodetexto"/>
        <w:numPr>
          <w:ilvl w:val="2"/>
          <w:numId w:val="10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</w:rPr>
      </w:pPr>
      <w:r w:rsidRPr="00EF071D">
        <w:rPr>
          <w:rFonts w:cs="Arial"/>
        </w:rPr>
        <w:t>o não cumprimento de quaisquer obrigações assumidas pelo Agente Financeiro</w:t>
      </w:r>
      <w:r>
        <w:rPr>
          <w:rFonts w:cs="Arial"/>
        </w:rPr>
        <w:t>;</w:t>
      </w:r>
    </w:p>
    <w:p w14:paraId="61DD57D5" w14:textId="1CECD991" w:rsidR="00194A50" w:rsidRDefault="00656D90" w:rsidP="00BA209E">
      <w:pPr>
        <w:pStyle w:val="Corpodetexto"/>
        <w:numPr>
          <w:ilvl w:val="2"/>
          <w:numId w:val="10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</w:rPr>
      </w:pPr>
      <w:r w:rsidRPr="00656D90">
        <w:rPr>
          <w:rFonts w:cs="Arial"/>
        </w:rPr>
        <w:t>o impedimento de o Agente Financeiro operar com recursos do BNDES;</w:t>
      </w:r>
    </w:p>
    <w:p w14:paraId="037F677D" w14:textId="6449108D" w:rsidR="00656D90" w:rsidRDefault="00656D90" w:rsidP="00BA209E">
      <w:pPr>
        <w:pStyle w:val="Corpodetexto"/>
        <w:numPr>
          <w:ilvl w:val="2"/>
          <w:numId w:val="10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</w:rPr>
      </w:pPr>
      <w:r w:rsidRPr="00656D90">
        <w:rPr>
          <w:rFonts w:cs="Arial"/>
        </w:rPr>
        <w:t xml:space="preserve">a </w:t>
      </w:r>
      <w:r w:rsidR="0026523F">
        <w:rPr>
          <w:rFonts w:cs="Arial"/>
        </w:rPr>
        <w:t xml:space="preserve">inclusão </w:t>
      </w:r>
      <w:r w:rsidR="00093388" w:rsidRPr="00093388">
        <w:rPr>
          <w:rFonts w:cs="Arial"/>
        </w:rPr>
        <w:t xml:space="preserve">no estatuto </w:t>
      </w:r>
      <w:r w:rsidR="00093388">
        <w:rPr>
          <w:rFonts w:cs="Arial"/>
        </w:rPr>
        <w:t>do Agente Financeiro</w:t>
      </w:r>
      <w:r w:rsidR="00093388" w:rsidRPr="00093388">
        <w:rPr>
          <w:rFonts w:cs="Arial"/>
        </w:rPr>
        <w:t xml:space="preserve"> de dispositivo que importe</w:t>
      </w:r>
      <w:r w:rsidR="00093388">
        <w:rPr>
          <w:rFonts w:cs="Arial"/>
        </w:rPr>
        <w:t>:</w:t>
      </w:r>
    </w:p>
    <w:p w14:paraId="7E8F7663" w14:textId="516AD0FF" w:rsidR="00093388" w:rsidRPr="00653033" w:rsidRDefault="00653033" w:rsidP="00653033">
      <w:pPr>
        <w:pStyle w:val="Corpodetexto"/>
        <w:numPr>
          <w:ilvl w:val="4"/>
          <w:numId w:val="1"/>
        </w:numPr>
        <w:tabs>
          <w:tab w:val="clear" w:pos="1364"/>
          <w:tab w:val="left" w:pos="2552"/>
        </w:tabs>
        <w:spacing w:before="120" w:after="120" w:line="240" w:lineRule="auto"/>
        <w:ind w:left="2552" w:hanging="425"/>
        <w:rPr>
          <w:rFonts w:cs="Arial"/>
        </w:rPr>
      </w:pPr>
      <w:r w:rsidRPr="00547228">
        <w:rPr>
          <w:rFonts w:cs="Arial"/>
          <w:color w:val="000000"/>
        </w:rPr>
        <w:t>restrições à capacidade de crescimento d</w:t>
      </w:r>
      <w:r>
        <w:rPr>
          <w:rFonts w:cs="Arial"/>
          <w:color w:val="000000"/>
        </w:rPr>
        <w:t>o</w:t>
      </w:r>
      <w:r w:rsidRPr="00547228">
        <w:rPr>
          <w:rFonts w:cs="Arial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Agente Financeiro</w:t>
      </w:r>
      <w:r w:rsidRPr="00547228">
        <w:rPr>
          <w:rFonts w:cs="Arial"/>
          <w:color w:val="000000"/>
        </w:rPr>
        <w:t xml:space="preserve"> ou ao seu desenvolvimento tecnológico; ou</w:t>
      </w:r>
    </w:p>
    <w:p w14:paraId="1F35FBDF" w14:textId="5C6AFFEF" w:rsidR="00653033" w:rsidRPr="008E7054" w:rsidRDefault="00885D69" w:rsidP="00653033">
      <w:pPr>
        <w:pStyle w:val="Corpodetexto"/>
        <w:numPr>
          <w:ilvl w:val="4"/>
          <w:numId w:val="1"/>
        </w:numPr>
        <w:tabs>
          <w:tab w:val="clear" w:pos="1364"/>
          <w:tab w:val="left" w:pos="2552"/>
        </w:tabs>
        <w:spacing w:before="120" w:after="120" w:line="240" w:lineRule="auto"/>
        <w:ind w:left="2552" w:hanging="425"/>
        <w:rPr>
          <w:rFonts w:cs="Arial"/>
        </w:rPr>
      </w:pPr>
      <w:r w:rsidRPr="529E84E7">
        <w:rPr>
          <w:rFonts w:cs="Arial"/>
          <w:color w:val="000000" w:themeColor="text1"/>
        </w:rPr>
        <w:t>restrições ou prejuízo à capacidade de pagamento das obrigações financeiras das operações com o BNDES</w:t>
      </w:r>
      <w:r w:rsidR="005B6F5E" w:rsidRPr="529E84E7">
        <w:rPr>
          <w:rFonts w:cs="Arial"/>
          <w:color w:val="000000" w:themeColor="text1"/>
        </w:rPr>
        <w:t>;</w:t>
      </w:r>
    </w:p>
    <w:p w14:paraId="495ADDB5" w14:textId="357D6E0E" w:rsidR="005B6F5E" w:rsidRPr="00271CA2" w:rsidRDefault="00271CA2" w:rsidP="00BA209E">
      <w:pPr>
        <w:pStyle w:val="Corpodetexto"/>
        <w:numPr>
          <w:ilvl w:val="2"/>
          <w:numId w:val="10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</w:rPr>
      </w:pPr>
      <w:r w:rsidRPr="00547228">
        <w:rPr>
          <w:rFonts w:cs="Arial"/>
          <w:color w:val="000000"/>
          <w:szCs w:val="20"/>
        </w:rPr>
        <w:t>a existência de sentença condenatória transitada em julgado em razão da prática de atos, pel</w:t>
      </w:r>
      <w:r>
        <w:rPr>
          <w:rFonts w:cs="Arial"/>
          <w:color w:val="000000"/>
          <w:szCs w:val="20"/>
        </w:rPr>
        <w:t>o</w:t>
      </w:r>
      <w:r w:rsidRPr="00547228">
        <w:rPr>
          <w:rFonts w:cs="Arial"/>
          <w:color w:val="000000"/>
          <w:szCs w:val="20"/>
        </w:rPr>
        <w:t xml:space="preserve"> </w:t>
      </w:r>
      <w:r>
        <w:rPr>
          <w:rFonts w:ascii="Helvetica" w:hAnsi="Helvetica" w:cs="Helvetica"/>
          <w:color w:val="000000"/>
        </w:rPr>
        <w:t>Agente Financeiro</w:t>
      </w:r>
      <w:r w:rsidRPr="00547228">
        <w:rPr>
          <w:rFonts w:cs="Arial"/>
          <w:color w:val="000000"/>
          <w:szCs w:val="20"/>
        </w:rPr>
        <w:t xml:space="preserve">, que importem em </w:t>
      </w:r>
      <w:r w:rsidRPr="00E44375">
        <w:rPr>
          <w:rFonts w:cs="Arial"/>
          <w:color w:val="000000"/>
          <w:szCs w:val="20"/>
        </w:rPr>
        <w:t xml:space="preserve">exploração irregular, ilegal ou criminosa do </w:t>
      </w:r>
      <w:r w:rsidRPr="00547228">
        <w:rPr>
          <w:rFonts w:cs="Arial"/>
          <w:color w:val="000000"/>
          <w:szCs w:val="20"/>
        </w:rPr>
        <w:t xml:space="preserve">trabalho infantil, </w:t>
      </w:r>
      <w:r w:rsidRPr="00E44375">
        <w:rPr>
          <w:rFonts w:cs="Arial"/>
          <w:color w:val="000000"/>
          <w:szCs w:val="20"/>
        </w:rPr>
        <w:t xml:space="preserve">prática relacionada ao </w:t>
      </w:r>
      <w:r w:rsidRPr="00E44375">
        <w:rPr>
          <w:rFonts w:cs="Arial"/>
          <w:color w:val="000000"/>
          <w:szCs w:val="20"/>
        </w:rPr>
        <w:lastRenderedPageBreak/>
        <w:t>trabalho em condições análogas à escravidão</w:t>
      </w:r>
      <w:r w:rsidRPr="00547228">
        <w:rPr>
          <w:rFonts w:cs="Arial"/>
          <w:color w:val="000000"/>
          <w:szCs w:val="20"/>
        </w:rPr>
        <w:t>, ou crime contra o meio ambiente</w:t>
      </w:r>
      <w:r>
        <w:rPr>
          <w:rFonts w:cs="Arial"/>
          <w:color w:val="000000"/>
          <w:szCs w:val="20"/>
        </w:rPr>
        <w:t>;</w:t>
      </w:r>
    </w:p>
    <w:p w14:paraId="53A0DD8B" w14:textId="417995F7" w:rsidR="00271CA2" w:rsidRPr="00991089" w:rsidRDefault="00FC6C57" w:rsidP="00BA209E">
      <w:pPr>
        <w:pStyle w:val="Corpodetexto"/>
        <w:numPr>
          <w:ilvl w:val="2"/>
          <w:numId w:val="10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</w:rPr>
      </w:pPr>
      <w:r w:rsidRPr="00981D87">
        <w:rPr>
          <w:rFonts w:cs="Arial"/>
          <w:color w:val="000000"/>
        </w:rPr>
        <w:t>a inclusão, d</w:t>
      </w:r>
      <w:r>
        <w:rPr>
          <w:rFonts w:cs="Arial"/>
          <w:color w:val="000000"/>
        </w:rPr>
        <w:t>o</w:t>
      </w:r>
      <w:r w:rsidRPr="00981D8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Agente Financeiro</w:t>
      </w:r>
      <w:r w:rsidRPr="00981D87">
        <w:rPr>
          <w:rFonts w:cs="Arial"/>
          <w:color w:val="000000"/>
        </w:rPr>
        <w:t>, no Cadastro de Empregadores que tenham mantido trabalhadores em condições análogas à de escravo, instituído pela Portaria Interministerial MTPS/MMIRDH nº 4/2016, ou outra que venha a substitui-la</w:t>
      </w:r>
      <w:r w:rsidR="004079D4">
        <w:rPr>
          <w:rFonts w:cs="Arial"/>
          <w:color w:val="000000"/>
        </w:rPr>
        <w:t>;</w:t>
      </w:r>
    </w:p>
    <w:p w14:paraId="555715C6" w14:textId="18728ADA" w:rsidR="00991089" w:rsidRPr="004079D4" w:rsidRDefault="00991089" w:rsidP="00BA209E">
      <w:pPr>
        <w:pStyle w:val="Corpodetexto"/>
        <w:numPr>
          <w:ilvl w:val="2"/>
          <w:numId w:val="10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</w:rPr>
      </w:pPr>
      <w:r w:rsidRPr="005673D0">
        <w:rPr>
          <w:rFonts w:cs="Arial"/>
          <w:color w:val="000000"/>
        </w:rPr>
        <w:t>a falsidade das declarações apresentadas n</w:t>
      </w:r>
      <w:r w:rsidR="0003159B">
        <w:rPr>
          <w:rFonts w:cs="Arial"/>
          <w:color w:val="000000"/>
        </w:rPr>
        <w:t>o Anexo IV</w:t>
      </w:r>
      <w:r w:rsidR="004079D4">
        <w:rPr>
          <w:rFonts w:cs="Arial"/>
          <w:color w:val="000000"/>
        </w:rPr>
        <w:t>;</w:t>
      </w:r>
    </w:p>
    <w:p w14:paraId="78276121" w14:textId="4FA45E3B" w:rsidR="72632863" w:rsidRDefault="72632863" w:rsidP="529E84E7">
      <w:pPr>
        <w:pStyle w:val="Corpodetexto"/>
        <w:numPr>
          <w:ilvl w:val="2"/>
          <w:numId w:val="10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</w:rPr>
      </w:pPr>
      <w:r w:rsidRPr="529E84E7">
        <w:rPr>
          <w:rFonts w:cs="Arial"/>
        </w:rPr>
        <w:t>pedido de recuperação judicial, extrajudicial, autofalência, bem como a decretação de falência ou liquidação do Agente Financeiro;</w:t>
      </w:r>
    </w:p>
    <w:p w14:paraId="102C39FD" w14:textId="7D0E4FEB" w:rsidR="009F1CA0" w:rsidRDefault="000323E3" w:rsidP="00BA209E">
      <w:pPr>
        <w:pStyle w:val="Corpodetexto"/>
        <w:numPr>
          <w:ilvl w:val="2"/>
          <w:numId w:val="10"/>
        </w:numPr>
        <w:tabs>
          <w:tab w:val="left" w:pos="2127"/>
        </w:tabs>
        <w:spacing w:before="120" w:after="120" w:line="240" w:lineRule="auto"/>
        <w:ind w:left="2127" w:hanging="851"/>
        <w:rPr>
          <w:rFonts w:cs="Arial"/>
        </w:rPr>
      </w:pPr>
      <w:r w:rsidRPr="00995FB3">
        <w:t>a prática pel</w:t>
      </w:r>
      <w:r>
        <w:t>o</w:t>
      </w:r>
      <w:r w:rsidRPr="00995FB3">
        <w:t xml:space="preserve"> </w:t>
      </w:r>
      <w:r>
        <w:rPr>
          <w:rFonts w:cs="Arial"/>
          <w:iCs/>
        </w:rPr>
        <w:t>Agente Financeiro</w:t>
      </w:r>
      <w:r w:rsidRPr="00995FB3">
        <w:t xml:space="preserve"> (i) das condutas de oferecer, prometer, dar, autorizar, solicitar ou aceitar, direta ou indiretamente, qualquer vantagem indevida, pecuniária ou de qualquer natureza, relacionada de qualquer forma com a finalidade </w:t>
      </w:r>
      <w:r>
        <w:t>d</w:t>
      </w:r>
      <w:r w:rsidR="13B39B32">
        <w:t>o Instrumento Contratual a ser celebrado com o BNDES</w:t>
      </w:r>
      <w:r w:rsidRPr="00995FB3">
        <w:t>, assim como (ii) de atos lesivos, infrações ou crimes contra as ordens econô</w:t>
      </w:r>
      <w:r w:rsidRPr="00AE7FD7">
        <w:rPr>
          <w:color w:val="000000" w:themeColor="text1"/>
        </w:rPr>
        <w:t>mica ou tributária, o sistema financeiro, o mercado de capitais</w:t>
      </w:r>
      <w:r>
        <w:rPr>
          <w:color w:val="000000" w:themeColor="text1"/>
        </w:rPr>
        <w:t xml:space="preserve">, </w:t>
      </w:r>
      <w:r w:rsidRPr="00AE7FD7">
        <w:rPr>
          <w:color w:val="000000" w:themeColor="text1"/>
        </w:rPr>
        <w:t xml:space="preserve">a administração pública, nacional ou estrangeira, ou o Estado Democrático de Direito, </w:t>
      </w:r>
      <w:r w:rsidRPr="529E84E7">
        <w:rPr>
          <w:color w:val="000000" w:themeColor="text1"/>
        </w:rPr>
        <w:t>de “lavagem” ou ocultação de bens, direitos e valores, terrorismo ou financiamento ao terrorismo, previstos na legislação nacional e/ou estrangeira aplicável.</w:t>
      </w:r>
    </w:p>
    <w:p w14:paraId="49B1E979" w14:textId="0D5DAEF8" w:rsidR="00194A50" w:rsidRDefault="00194A50" w:rsidP="00BA209E">
      <w:pPr>
        <w:pStyle w:val="Corpodetexto"/>
        <w:numPr>
          <w:ilvl w:val="1"/>
          <w:numId w:val="10"/>
        </w:numPr>
        <w:tabs>
          <w:tab w:val="left" w:pos="1276"/>
        </w:tabs>
        <w:spacing w:before="120" w:after="120" w:line="240" w:lineRule="auto"/>
        <w:ind w:left="1276" w:hanging="709"/>
        <w:rPr>
          <w:rFonts w:cs="Arial"/>
        </w:rPr>
      </w:pPr>
      <w:r w:rsidRPr="008E7054">
        <w:rPr>
          <w:rFonts w:cs="Arial"/>
        </w:rPr>
        <w:t>Na hipótese de aplicação dos recursos c</w:t>
      </w:r>
      <w:r w:rsidR="007A1863" w:rsidRPr="008E7054">
        <w:rPr>
          <w:rFonts w:cs="Arial"/>
        </w:rPr>
        <w:t>oncedidos no âmbito do</w:t>
      </w:r>
      <w:r w:rsidR="004054C8">
        <w:rPr>
          <w:rFonts w:cs="Arial"/>
        </w:rPr>
        <w:t xml:space="preserve"> Produto</w:t>
      </w:r>
      <w:r w:rsidR="007A1863" w:rsidRPr="008E7054">
        <w:rPr>
          <w:rFonts w:cs="Arial"/>
        </w:rPr>
        <w:t xml:space="preserve"> BNDES </w:t>
      </w:r>
      <w:r w:rsidRPr="008E7054">
        <w:rPr>
          <w:rFonts w:cs="Arial"/>
        </w:rPr>
        <w:t xml:space="preserve">Microcrédito em finalidade diversa da prevista no </w:t>
      </w:r>
      <w:r w:rsidRPr="00CF0BB3">
        <w:rPr>
          <w:rFonts w:cs="Arial"/>
        </w:rPr>
        <w:t xml:space="preserve">item </w:t>
      </w:r>
      <w:r w:rsidR="00F65F2F" w:rsidRPr="00CF0BB3">
        <w:rPr>
          <w:rFonts w:cs="Arial"/>
        </w:rPr>
        <w:t>6</w:t>
      </w:r>
      <w:r w:rsidR="00F65F2F" w:rsidRPr="008E7054">
        <w:rPr>
          <w:rFonts w:cs="Arial"/>
        </w:rPr>
        <w:t xml:space="preserve"> </w:t>
      </w:r>
      <w:r w:rsidRPr="008E7054">
        <w:rPr>
          <w:rFonts w:cs="Arial"/>
        </w:rPr>
        <w:t>desta Circular, o BNDES, sem prejuízo do vencimento antecipado da operação e da aplicação da multa prevista</w:t>
      </w:r>
      <w:r w:rsidR="00F65F2F" w:rsidRPr="008E7054">
        <w:rPr>
          <w:rFonts w:cs="Arial"/>
        </w:rPr>
        <w:t xml:space="preserve"> no artigo 47-A das “Disposições Aplicáveis aos Contratos do BNDES”</w:t>
      </w:r>
      <w:r w:rsidRPr="008E7054">
        <w:rPr>
          <w:rFonts w:cs="Arial"/>
        </w:rPr>
        <w:t>, comunicará o fato ao Ministério Público Federal, para os fins e efeitos da Lei nº 7.492, de 16.06.</w:t>
      </w:r>
      <w:r w:rsidR="00F65F2F" w:rsidRPr="008E7054">
        <w:rPr>
          <w:rFonts w:cs="Arial"/>
        </w:rPr>
        <w:t>19</w:t>
      </w:r>
      <w:r w:rsidRPr="008E7054">
        <w:rPr>
          <w:rFonts w:cs="Arial"/>
        </w:rPr>
        <w:t>86.</w:t>
      </w:r>
    </w:p>
    <w:p w14:paraId="335C8F29" w14:textId="6991F42F" w:rsidR="00D06A56" w:rsidRDefault="00D06A56" w:rsidP="00BA209E">
      <w:pPr>
        <w:pStyle w:val="Corpodetexto"/>
        <w:numPr>
          <w:ilvl w:val="1"/>
          <w:numId w:val="10"/>
        </w:numPr>
        <w:tabs>
          <w:tab w:val="left" w:pos="1276"/>
        </w:tabs>
        <w:spacing w:before="120" w:after="120" w:line="240" w:lineRule="auto"/>
        <w:ind w:left="1276" w:hanging="709"/>
        <w:rPr>
          <w:rFonts w:cs="Arial"/>
        </w:rPr>
      </w:pPr>
      <w:r w:rsidRPr="007439D6">
        <w:rPr>
          <w:rFonts w:cs="Arial"/>
        </w:rPr>
        <w:t>O BNDES poderá declarar vencida antecipadamente a operação</w:t>
      </w:r>
      <w:r w:rsidRPr="00D06A56">
        <w:rPr>
          <w:rFonts w:cs="Arial"/>
        </w:rPr>
        <w:t>, com a exigibilidade da dívida e imediata sustação de qualquer desembolso, na data da diplomação como Deputado(a) Federal ou Senador(a), de pessoa que exerça função remunerada n</w:t>
      </w:r>
      <w:r w:rsidR="007A5E42">
        <w:rPr>
          <w:rFonts w:cs="Arial"/>
        </w:rPr>
        <w:t>o</w:t>
      </w:r>
      <w:r w:rsidRPr="00D06A56">
        <w:rPr>
          <w:rFonts w:cs="Arial"/>
        </w:rPr>
        <w:t xml:space="preserve"> </w:t>
      </w:r>
      <w:r w:rsidR="007A5E42">
        <w:rPr>
          <w:rFonts w:cs="Arial"/>
        </w:rPr>
        <w:t>Agente Financeiro</w:t>
      </w:r>
      <w:r w:rsidRPr="00D06A56">
        <w:rPr>
          <w:rFonts w:cs="Arial"/>
        </w:rPr>
        <w:t>, ou estejam entre os seus proprietários, controladores ou diretores, pessoas incursas nas vedações previstas pela Constituição Federal, artigo 54, incisos I e II. Não haverá incidência dos encargos de inadimplemento, desde que o pagamento ocorra no prazo de 5 (cinco) dias úteis a contar da data da diplomação, sob pena de não o fazendo incidirem os encargos previstos para as hipóteses de vencimento antecipado por inadimplemento</w:t>
      </w:r>
      <w:r w:rsidR="007A5E42">
        <w:rPr>
          <w:rFonts w:cs="Arial"/>
        </w:rPr>
        <w:t>.</w:t>
      </w:r>
    </w:p>
    <w:p w14:paraId="0A737E70" w14:textId="0410A1A7" w:rsidR="009908C7" w:rsidRDefault="009908C7" w:rsidP="00BA209E">
      <w:pPr>
        <w:pStyle w:val="Corpodetexto"/>
        <w:numPr>
          <w:ilvl w:val="1"/>
          <w:numId w:val="10"/>
        </w:numPr>
        <w:tabs>
          <w:tab w:val="left" w:pos="1276"/>
        </w:tabs>
        <w:spacing w:before="120" w:after="120" w:line="240" w:lineRule="auto"/>
        <w:ind w:left="1276" w:hanging="709"/>
        <w:rPr>
          <w:rFonts w:cs="Arial"/>
        </w:rPr>
      </w:pPr>
      <w:r w:rsidRPr="00547228">
        <w:rPr>
          <w:rFonts w:cs="Arial"/>
          <w:color w:val="000000"/>
          <w:szCs w:val="20"/>
        </w:rPr>
        <w:t xml:space="preserve">A declaração de vencimento antecipado com base no estipulado </w:t>
      </w:r>
      <w:r>
        <w:rPr>
          <w:rFonts w:cs="Arial"/>
          <w:color w:val="000000"/>
          <w:szCs w:val="20"/>
        </w:rPr>
        <w:t>nos itens 14.1.4 e 14.1.5</w:t>
      </w:r>
      <w:r w:rsidRPr="00547228">
        <w:rPr>
          <w:rFonts w:cs="Arial"/>
          <w:color w:val="000000"/>
          <w:szCs w:val="20"/>
        </w:rPr>
        <w:t xml:space="preserve"> não ocorrerá se efetuada a reparação imposta ou enquanto estiver sendo cumprida a pena imposta </w:t>
      </w:r>
      <w:r>
        <w:rPr>
          <w:rFonts w:cs="Arial"/>
          <w:color w:val="000000"/>
          <w:szCs w:val="20"/>
        </w:rPr>
        <w:t>ao</w:t>
      </w:r>
      <w:r w:rsidRPr="00547228">
        <w:rPr>
          <w:rFonts w:cs="Arial"/>
          <w:color w:val="000000"/>
          <w:szCs w:val="20"/>
        </w:rPr>
        <w:t xml:space="preserve"> </w:t>
      </w:r>
      <w:r>
        <w:rPr>
          <w:rFonts w:ascii="Helvetica" w:hAnsi="Helvetica" w:cs="Helvetica"/>
          <w:color w:val="000000"/>
        </w:rPr>
        <w:t>Agente Financeiro</w:t>
      </w:r>
      <w:r w:rsidRPr="00547228">
        <w:rPr>
          <w:rFonts w:cs="Arial"/>
          <w:color w:val="000000"/>
          <w:szCs w:val="20"/>
        </w:rPr>
        <w:t>, observado o devido processo legal</w:t>
      </w:r>
      <w:r>
        <w:rPr>
          <w:rFonts w:cs="Arial"/>
          <w:color w:val="000000"/>
          <w:szCs w:val="20"/>
        </w:rPr>
        <w:t>.</w:t>
      </w:r>
    </w:p>
    <w:p w14:paraId="4956903D" w14:textId="77777777" w:rsidR="00194A50" w:rsidRPr="007439D6" w:rsidRDefault="003D6451" w:rsidP="00216FA8">
      <w:pPr>
        <w:pStyle w:val="Corpodetexto"/>
        <w:keepNext/>
        <w:numPr>
          <w:ilvl w:val="0"/>
          <w:numId w:val="1"/>
        </w:numPr>
        <w:tabs>
          <w:tab w:val="clear" w:pos="644"/>
          <w:tab w:val="left" w:pos="567"/>
        </w:tabs>
        <w:spacing w:before="360" w:after="240" w:line="240" w:lineRule="auto"/>
        <w:ind w:left="567" w:hanging="567"/>
        <w:rPr>
          <w:rFonts w:cs="Arial"/>
          <w:b/>
        </w:rPr>
      </w:pPr>
      <w:r w:rsidRPr="007439D6">
        <w:rPr>
          <w:rFonts w:cs="Arial"/>
          <w:b/>
        </w:rPr>
        <w:t>DISPOSIÇÕES GERAIS</w:t>
      </w:r>
    </w:p>
    <w:p w14:paraId="18E8405D" w14:textId="54ECE052" w:rsidR="00D73143" w:rsidRDefault="00D73143" w:rsidP="00BA209E">
      <w:pPr>
        <w:pStyle w:val="Corpodetexto"/>
        <w:numPr>
          <w:ilvl w:val="1"/>
          <w:numId w:val="11"/>
        </w:numPr>
        <w:tabs>
          <w:tab w:val="left" w:pos="1276"/>
        </w:tabs>
        <w:spacing w:before="120" w:after="120" w:line="240" w:lineRule="auto"/>
        <w:ind w:left="1276" w:hanging="709"/>
        <w:rPr>
          <w:rFonts w:cs="Arial"/>
        </w:rPr>
      </w:pPr>
      <w:r>
        <w:t>Os Agentes Financeiros deverão estar devidamente habilitados perante o Ministério do Trabalho e Emprego no âmbito do PNMPO – Programa Nacional de Microcrédito Produtivo Orientado</w:t>
      </w:r>
      <w:r w:rsidR="00C962B4">
        <w:t>,</w:t>
      </w:r>
      <w:r w:rsidR="004422D0" w:rsidRPr="004422D0">
        <w:t xml:space="preserve"> </w:t>
      </w:r>
      <w:r w:rsidR="004422D0">
        <w:t xml:space="preserve">para operarem </w:t>
      </w:r>
      <w:r w:rsidR="00153CC8">
        <w:t>a Linha Microcrédito Produtivo Orientado</w:t>
      </w:r>
      <w:r>
        <w:t>.</w:t>
      </w:r>
    </w:p>
    <w:p w14:paraId="20F9FF36" w14:textId="1E66958A" w:rsidR="00A64B4F" w:rsidRDefault="00F37BD0" w:rsidP="00BA209E">
      <w:pPr>
        <w:pStyle w:val="Corpodetexto"/>
        <w:numPr>
          <w:ilvl w:val="1"/>
          <w:numId w:val="11"/>
        </w:numPr>
        <w:tabs>
          <w:tab w:val="left" w:pos="1276"/>
        </w:tabs>
        <w:spacing w:before="120" w:after="120" w:line="240" w:lineRule="auto"/>
        <w:ind w:left="1276" w:hanging="709"/>
      </w:pPr>
      <w:r w:rsidRPr="006E3939">
        <w:lastRenderedPageBreak/>
        <w:t xml:space="preserve">As condições de financiamento entre os Agentes </w:t>
      </w:r>
      <w:r w:rsidR="00086A44" w:rsidRPr="006E3939">
        <w:t>Financeiros</w:t>
      </w:r>
      <w:r w:rsidRPr="006E3939">
        <w:t xml:space="preserve"> de 2° piso e</w:t>
      </w:r>
      <w:r w:rsidR="00153CC8" w:rsidRPr="006E3939">
        <w:t xml:space="preserve"> as instituições</w:t>
      </w:r>
      <w:r w:rsidRPr="006E3939">
        <w:t xml:space="preserve"> de 1° piso serão negociadas entre as partes, respeitando o custo financeiro mínimo equivalente ao </w:t>
      </w:r>
      <w:r w:rsidR="00153CC8" w:rsidRPr="006E3939">
        <w:t>r</w:t>
      </w:r>
      <w:r w:rsidRPr="006E3939">
        <w:t>eferencial de custo financeiro do contrato com o BNDES.</w:t>
      </w:r>
    </w:p>
    <w:p w14:paraId="0EF0F965" w14:textId="03A12F2F" w:rsidR="008A197D" w:rsidRDefault="008A197D" w:rsidP="0014006B">
      <w:pPr>
        <w:pStyle w:val="Corpodetexto"/>
        <w:numPr>
          <w:ilvl w:val="1"/>
          <w:numId w:val="11"/>
        </w:numPr>
        <w:tabs>
          <w:tab w:val="left" w:pos="1276"/>
        </w:tabs>
        <w:spacing w:before="120" w:after="120" w:line="240" w:lineRule="auto"/>
        <w:ind w:left="1276" w:hanging="709"/>
      </w:pPr>
      <w:r>
        <w:t xml:space="preserve">Deve ser avaliado, durante o processo de acompanhamento, o desempenho institucional das IMPOs, considerando o Regulamento de Procedimentos </w:t>
      </w:r>
      <w:r w:rsidR="00B225D5">
        <w:t xml:space="preserve">e </w:t>
      </w:r>
      <w:r>
        <w:t>Critérios das Operações do Produto BNDES Microcrédito na Esteira Automática</w:t>
      </w:r>
      <w:r w:rsidR="0014006B">
        <w:t xml:space="preserve"> </w:t>
      </w:r>
      <w:r>
        <w:t>do Processo de Concessão de Crédito.</w:t>
      </w:r>
    </w:p>
    <w:p w14:paraId="481983A0" w14:textId="632E6812" w:rsidR="00BA7B05" w:rsidRPr="006E3939" w:rsidRDefault="008A197D" w:rsidP="0014006B">
      <w:pPr>
        <w:pStyle w:val="Corpodetexto"/>
        <w:numPr>
          <w:ilvl w:val="1"/>
          <w:numId w:val="11"/>
        </w:numPr>
        <w:tabs>
          <w:tab w:val="left" w:pos="1276"/>
        </w:tabs>
        <w:spacing w:before="120" w:after="120" w:line="240" w:lineRule="auto"/>
        <w:ind w:left="1276" w:hanging="709"/>
      </w:pPr>
      <w:r>
        <w:t>As operações apoiadas no âmbito Produto BNDES Microcrédito devem observar</w:t>
      </w:r>
      <w:r w:rsidR="0014006B">
        <w:t xml:space="preserve"> </w:t>
      </w:r>
      <w:r>
        <w:t>as atividades de monitoramento e avaliação, com foco na efetividade, previstas no</w:t>
      </w:r>
      <w:r w:rsidR="0014006B">
        <w:t xml:space="preserve"> </w:t>
      </w:r>
      <w:r>
        <w:t>Regulamento do Macroprocesso de Monitoramento e Avaliação de Efetividade,</w:t>
      </w:r>
      <w:r w:rsidR="0014006B">
        <w:t xml:space="preserve"> </w:t>
      </w:r>
      <w:r>
        <w:t>constantes no Anexo à Resolução DIR nº 4.164/2024-BNDES, de 21.03.2024, ou</w:t>
      </w:r>
      <w:r w:rsidR="0014006B">
        <w:t xml:space="preserve"> </w:t>
      </w:r>
      <w:r>
        <w:t>em norma posterior que o altere ou suceda.</w:t>
      </w:r>
    </w:p>
    <w:p w14:paraId="31C082C6" w14:textId="281A193D" w:rsidR="00194A50" w:rsidRPr="003D1F46" w:rsidRDefault="007068E8" w:rsidP="00734DA8">
      <w:pPr>
        <w:pStyle w:val="Corpodetexto"/>
        <w:keepNext/>
        <w:keepLines/>
        <w:spacing w:before="360" w:after="120" w:line="240" w:lineRule="auto"/>
        <w:ind w:left="567"/>
        <w:rPr>
          <w:rFonts w:cs="Arial"/>
        </w:rPr>
      </w:pPr>
      <w:r w:rsidRPr="003D1F46">
        <w:rPr>
          <w:rFonts w:cs="Arial"/>
        </w:rPr>
        <w:t xml:space="preserve">Esta Circular entra em vigor </w:t>
      </w:r>
      <w:r w:rsidR="008C16E5">
        <w:rPr>
          <w:rFonts w:cs="Arial"/>
        </w:rPr>
        <w:t>na presente data</w:t>
      </w:r>
      <w:r w:rsidRPr="003D1F46">
        <w:rPr>
          <w:rFonts w:cs="Arial"/>
        </w:rPr>
        <w:t xml:space="preserve">, </w:t>
      </w:r>
      <w:r w:rsidR="00FC70DE" w:rsidRPr="003D1F46">
        <w:rPr>
          <w:rFonts w:cs="Arial"/>
        </w:rPr>
        <w:t>ficando</w:t>
      </w:r>
      <w:r w:rsidRPr="003D1F46">
        <w:rPr>
          <w:rFonts w:cs="Arial"/>
        </w:rPr>
        <w:t xml:space="preserve"> revogada a</w:t>
      </w:r>
      <w:r w:rsidR="00862DA2" w:rsidRPr="003D1F46">
        <w:rPr>
          <w:rFonts w:cs="Arial"/>
        </w:rPr>
        <w:t xml:space="preserve"> Circular</w:t>
      </w:r>
      <w:r w:rsidRPr="003D1F46">
        <w:rPr>
          <w:rFonts w:cs="Arial"/>
        </w:rPr>
        <w:t xml:space="preserve"> </w:t>
      </w:r>
      <w:r w:rsidR="00697210" w:rsidRPr="003D1F46">
        <w:rPr>
          <w:rFonts w:cs="Arial"/>
        </w:rPr>
        <w:t>SUP/A</w:t>
      </w:r>
      <w:r w:rsidR="00F2302B">
        <w:rPr>
          <w:rFonts w:cs="Arial"/>
        </w:rPr>
        <w:t>DIG</w:t>
      </w:r>
      <w:r w:rsidR="00697210" w:rsidRPr="003D1F46">
        <w:rPr>
          <w:rFonts w:cs="Arial"/>
        </w:rPr>
        <w:t xml:space="preserve"> </w:t>
      </w:r>
      <w:r w:rsidR="008C2B1E">
        <w:rPr>
          <w:rFonts w:cs="Arial"/>
        </w:rPr>
        <w:t>n</w:t>
      </w:r>
      <w:r w:rsidR="00697210" w:rsidRPr="003D1F46">
        <w:rPr>
          <w:rFonts w:cs="Arial"/>
        </w:rPr>
        <w:t xml:space="preserve">º </w:t>
      </w:r>
      <w:r w:rsidR="00F2302B">
        <w:rPr>
          <w:rFonts w:cs="Arial"/>
        </w:rPr>
        <w:t>41</w:t>
      </w:r>
      <w:r w:rsidR="00697210" w:rsidRPr="003D1F46">
        <w:rPr>
          <w:rFonts w:cs="Arial"/>
        </w:rPr>
        <w:t>/20</w:t>
      </w:r>
      <w:r w:rsidR="00F2302B">
        <w:rPr>
          <w:rFonts w:cs="Arial"/>
        </w:rPr>
        <w:t>22</w:t>
      </w:r>
      <w:r w:rsidR="00697210" w:rsidRPr="003D1F46">
        <w:rPr>
          <w:rFonts w:cs="Arial"/>
        </w:rPr>
        <w:t xml:space="preserve">-BNDES, de </w:t>
      </w:r>
      <w:r w:rsidR="00F2302B">
        <w:rPr>
          <w:rFonts w:cs="Arial"/>
        </w:rPr>
        <w:t>11</w:t>
      </w:r>
      <w:r w:rsidR="00697210" w:rsidRPr="003D1F46">
        <w:rPr>
          <w:rFonts w:cs="Arial"/>
        </w:rPr>
        <w:t>.</w:t>
      </w:r>
      <w:r w:rsidR="006B0D76">
        <w:rPr>
          <w:rFonts w:cs="Arial"/>
        </w:rPr>
        <w:t>08</w:t>
      </w:r>
      <w:r w:rsidR="00697210" w:rsidRPr="003D1F46">
        <w:rPr>
          <w:rFonts w:cs="Arial"/>
        </w:rPr>
        <w:t>.20</w:t>
      </w:r>
      <w:r w:rsidR="00F2302B">
        <w:rPr>
          <w:rFonts w:cs="Arial"/>
        </w:rPr>
        <w:t>22</w:t>
      </w:r>
      <w:r w:rsidR="00697210" w:rsidRPr="003D1F46">
        <w:rPr>
          <w:rFonts w:cs="Arial"/>
        </w:rPr>
        <w:t>.</w:t>
      </w:r>
    </w:p>
    <w:p w14:paraId="7704DF8A" w14:textId="77777777" w:rsidR="00481303" w:rsidRDefault="00481303" w:rsidP="00734DA8">
      <w:pPr>
        <w:pStyle w:val="BNDES"/>
        <w:keepNext/>
        <w:jc w:val="center"/>
        <w:rPr>
          <w:rFonts w:ascii="Arial" w:hAnsi="Arial" w:cs="Arial"/>
        </w:rPr>
      </w:pPr>
    </w:p>
    <w:p w14:paraId="11009A09" w14:textId="77777777" w:rsidR="00F37BD0" w:rsidRDefault="00F37BD0" w:rsidP="00734DA8">
      <w:pPr>
        <w:pStyle w:val="BNDES"/>
        <w:keepNext/>
        <w:jc w:val="center"/>
        <w:rPr>
          <w:rFonts w:ascii="Arial" w:hAnsi="Arial" w:cs="Arial"/>
        </w:rPr>
      </w:pPr>
    </w:p>
    <w:p w14:paraId="5F220A22" w14:textId="77777777" w:rsidR="00481303" w:rsidRPr="007439D6" w:rsidRDefault="00481303" w:rsidP="00734DA8">
      <w:pPr>
        <w:pStyle w:val="BNDES"/>
        <w:keepNext/>
        <w:jc w:val="center"/>
        <w:rPr>
          <w:rFonts w:ascii="Arial" w:hAnsi="Arial" w:cs="Arial"/>
        </w:rPr>
      </w:pPr>
    </w:p>
    <w:p w14:paraId="37EBA367" w14:textId="30AF6F58" w:rsidR="00194A50" w:rsidRPr="007439D6" w:rsidRDefault="00570480" w:rsidP="00734DA8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Porteiro Cardoso</w:t>
      </w:r>
    </w:p>
    <w:p w14:paraId="65E87338" w14:textId="31019978" w:rsidR="00194A50" w:rsidRPr="007439D6" w:rsidRDefault="00194A50" w:rsidP="00734DA8">
      <w:pPr>
        <w:keepNext/>
        <w:jc w:val="center"/>
        <w:rPr>
          <w:rFonts w:ascii="Arial" w:hAnsi="Arial" w:cs="Arial"/>
        </w:rPr>
      </w:pPr>
      <w:r w:rsidRPr="007439D6">
        <w:rPr>
          <w:rFonts w:ascii="Arial" w:hAnsi="Arial" w:cs="Arial"/>
        </w:rPr>
        <w:t>Superintendente</w:t>
      </w:r>
    </w:p>
    <w:p w14:paraId="21990C27" w14:textId="77777777" w:rsidR="00194A50" w:rsidRPr="007439D6" w:rsidRDefault="00194A50" w:rsidP="00734DA8">
      <w:pPr>
        <w:keepNext/>
        <w:jc w:val="center"/>
        <w:rPr>
          <w:rFonts w:ascii="Arial" w:hAnsi="Arial" w:cs="Arial"/>
        </w:rPr>
      </w:pPr>
      <w:r w:rsidRPr="007439D6">
        <w:rPr>
          <w:rFonts w:ascii="Arial" w:hAnsi="Arial" w:cs="Arial"/>
        </w:rPr>
        <w:t xml:space="preserve">Área </w:t>
      </w:r>
      <w:r w:rsidR="007D12BB">
        <w:rPr>
          <w:rFonts w:ascii="Arial" w:hAnsi="Arial" w:cs="Arial"/>
        </w:rPr>
        <w:t>de Operações e Canais Digitais</w:t>
      </w:r>
    </w:p>
    <w:p w14:paraId="077401B9" w14:textId="77777777" w:rsidR="00194A50" w:rsidRPr="007439D6" w:rsidRDefault="00194A50" w:rsidP="00734DA8">
      <w:pPr>
        <w:pStyle w:val="BNDES"/>
        <w:jc w:val="center"/>
        <w:rPr>
          <w:rFonts w:ascii="Arial" w:hAnsi="Arial" w:cs="Arial"/>
          <w:b/>
        </w:rPr>
      </w:pPr>
      <w:r w:rsidRPr="007439D6">
        <w:rPr>
          <w:rFonts w:ascii="Arial" w:hAnsi="Arial" w:cs="Arial"/>
        </w:rPr>
        <w:t>BNDES</w:t>
      </w:r>
    </w:p>
    <w:p w14:paraId="0872C99D" w14:textId="6AE153FB" w:rsidR="00F67DE7" w:rsidRDefault="002459AD" w:rsidP="00FC0AB3">
      <w:pPr>
        <w:pStyle w:val="BNDES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F67DE7" w:rsidRPr="00734DA8">
        <w:rPr>
          <w:rFonts w:ascii="Arial" w:hAnsi="Arial" w:cs="Arial"/>
          <w:b/>
        </w:rPr>
        <w:lastRenderedPageBreak/>
        <w:t>Relação de Anexos à Circular SUP/</w:t>
      </w:r>
      <w:r w:rsidR="006F5CD0" w:rsidRPr="00734DA8">
        <w:rPr>
          <w:rFonts w:ascii="Arial" w:hAnsi="Arial" w:cs="Arial"/>
          <w:b/>
        </w:rPr>
        <w:t>ADIG</w:t>
      </w:r>
      <w:r w:rsidR="00F67DE7" w:rsidRPr="00734DA8">
        <w:rPr>
          <w:rFonts w:ascii="Arial" w:hAnsi="Arial" w:cs="Arial"/>
          <w:b/>
        </w:rPr>
        <w:t xml:space="preserve"> nº </w:t>
      </w:r>
      <w:r w:rsidR="00035B7B">
        <w:rPr>
          <w:rFonts w:ascii="Arial" w:hAnsi="Arial" w:cs="Arial"/>
          <w:b/>
        </w:rPr>
        <w:t>79</w:t>
      </w:r>
      <w:r w:rsidR="00F67DE7" w:rsidRPr="00734DA8">
        <w:rPr>
          <w:rFonts w:ascii="Arial" w:hAnsi="Arial" w:cs="Arial"/>
          <w:b/>
        </w:rPr>
        <w:t>/20</w:t>
      </w:r>
      <w:r w:rsidR="006F5CD0" w:rsidRPr="00734DA8">
        <w:rPr>
          <w:rFonts w:ascii="Arial" w:hAnsi="Arial" w:cs="Arial"/>
          <w:b/>
        </w:rPr>
        <w:t>2</w:t>
      </w:r>
      <w:r w:rsidR="00F2302B">
        <w:rPr>
          <w:rFonts w:ascii="Arial" w:hAnsi="Arial" w:cs="Arial"/>
          <w:b/>
        </w:rPr>
        <w:t>5</w:t>
      </w:r>
      <w:r w:rsidR="00EB418A">
        <w:rPr>
          <w:rFonts w:ascii="Arial" w:hAnsi="Arial" w:cs="Arial"/>
          <w:b/>
        </w:rPr>
        <w:t>-</w:t>
      </w:r>
      <w:r w:rsidR="00F67DE7" w:rsidRPr="00734DA8">
        <w:rPr>
          <w:rFonts w:ascii="Arial" w:hAnsi="Arial" w:cs="Arial"/>
          <w:b/>
        </w:rPr>
        <w:t>BNDES</w:t>
      </w:r>
    </w:p>
    <w:p w14:paraId="36AD3060" w14:textId="77777777" w:rsidR="00194A50" w:rsidRDefault="00194A50" w:rsidP="00FC0AB3">
      <w:pPr>
        <w:pStyle w:val="BNDES"/>
        <w:rPr>
          <w:rFonts w:ascii="Arial" w:hAnsi="Arial" w:cs="Arial"/>
        </w:rPr>
      </w:pPr>
    </w:p>
    <w:p w14:paraId="2D25B063" w14:textId="77777777" w:rsidR="00194A50" w:rsidRDefault="00194A50" w:rsidP="00FC0AB3">
      <w:pPr>
        <w:pStyle w:val="BNDES"/>
        <w:rPr>
          <w:rFonts w:ascii="Arial" w:hAnsi="Arial" w:cs="Arial"/>
        </w:rPr>
      </w:pPr>
      <w:r>
        <w:rPr>
          <w:rFonts w:ascii="Arial" w:hAnsi="Arial" w:cs="Arial"/>
        </w:rPr>
        <w:t>I – Procedimentos Operacionais</w:t>
      </w:r>
      <w:r w:rsidR="007616D3">
        <w:rPr>
          <w:rFonts w:ascii="Arial" w:hAnsi="Arial" w:cs="Arial"/>
        </w:rPr>
        <w:t xml:space="preserve"> dos Agentes Financeiros</w:t>
      </w:r>
      <w:r>
        <w:rPr>
          <w:rFonts w:ascii="Arial" w:hAnsi="Arial" w:cs="Arial"/>
        </w:rPr>
        <w:t>;</w:t>
      </w:r>
    </w:p>
    <w:p w14:paraId="19EC93D1" w14:textId="77777777" w:rsidR="00194A50" w:rsidRDefault="00194A50" w:rsidP="00FC0AB3">
      <w:pPr>
        <w:pStyle w:val="BNDES"/>
        <w:rPr>
          <w:rFonts w:ascii="Arial" w:hAnsi="Arial" w:cs="Arial"/>
        </w:rPr>
      </w:pPr>
    </w:p>
    <w:p w14:paraId="23EF8834" w14:textId="77777777" w:rsidR="00194A50" w:rsidRDefault="00194A50" w:rsidP="00FC0AB3">
      <w:pPr>
        <w:pStyle w:val="BNDES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Pr="00027A87">
        <w:rPr>
          <w:rFonts w:ascii="Arial" w:hAnsi="Arial" w:cs="Arial"/>
        </w:rPr>
        <w:t>Ficha de Reserva de Crédito para Microcrédito</w:t>
      </w:r>
      <w:r w:rsidR="008E59B9">
        <w:rPr>
          <w:rFonts w:ascii="Arial" w:hAnsi="Arial" w:cs="Arial"/>
        </w:rPr>
        <w:t xml:space="preserve"> (FREC)</w:t>
      </w:r>
      <w:r>
        <w:rPr>
          <w:rFonts w:ascii="Arial" w:hAnsi="Arial" w:cs="Arial"/>
        </w:rPr>
        <w:t>;</w:t>
      </w:r>
    </w:p>
    <w:p w14:paraId="3748ED1C" w14:textId="77777777" w:rsidR="00194A50" w:rsidRDefault="00194A50" w:rsidP="00FC0AB3">
      <w:pPr>
        <w:pStyle w:val="BNDES"/>
        <w:rPr>
          <w:rFonts w:ascii="Arial" w:hAnsi="Arial" w:cs="Arial"/>
        </w:rPr>
      </w:pPr>
    </w:p>
    <w:p w14:paraId="03BD2A2F" w14:textId="77777777" w:rsidR="00194A50" w:rsidRDefault="00194A50" w:rsidP="00FC0AB3">
      <w:pPr>
        <w:pStyle w:val="BNDES"/>
        <w:rPr>
          <w:rFonts w:ascii="Arial" w:hAnsi="Arial" w:cs="Arial"/>
        </w:rPr>
      </w:pPr>
      <w:r>
        <w:rPr>
          <w:rFonts w:ascii="Arial" w:hAnsi="Arial" w:cs="Arial"/>
        </w:rPr>
        <w:t>III – Pedido de Liberação;</w:t>
      </w:r>
    </w:p>
    <w:p w14:paraId="0B080CD7" w14:textId="77777777" w:rsidR="00194A50" w:rsidRDefault="00194A50" w:rsidP="00FC0AB3">
      <w:pPr>
        <w:pStyle w:val="BNDES"/>
        <w:rPr>
          <w:rFonts w:ascii="Arial" w:hAnsi="Arial" w:cs="Arial"/>
        </w:rPr>
      </w:pPr>
    </w:p>
    <w:p w14:paraId="4EE15DAF" w14:textId="77777777" w:rsidR="00194A50" w:rsidRDefault="00194A50" w:rsidP="00FC0AB3">
      <w:pPr>
        <w:pStyle w:val="BNDES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r w:rsidR="00EB418A">
        <w:rPr>
          <w:rFonts w:ascii="Arial" w:hAnsi="Arial" w:cs="Arial"/>
        </w:rPr>
        <w:t xml:space="preserve">Modelos de Declarações dos Agentes Financeiros e </w:t>
      </w:r>
      <w:r w:rsidR="008E59B9">
        <w:rPr>
          <w:rFonts w:ascii="Arial" w:hAnsi="Arial" w:cs="Arial"/>
        </w:rPr>
        <w:t xml:space="preserve">das </w:t>
      </w:r>
      <w:r w:rsidR="00EB418A" w:rsidRPr="00A03E8B">
        <w:rPr>
          <w:rFonts w:ascii="Arial" w:hAnsi="Arial" w:cs="Arial"/>
        </w:rPr>
        <w:t>Instituições de Microcrédito Produtivo Orientado</w:t>
      </w:r>
      <w:r w:rsidR="00EB418A">
        <w:rPr>
          <w:rFonts w:ascii="Arial" w:hAnsi="Arial" w:cs="Arial"/>
        </w:rPr>
        <w:t xml:space="preserve"> (IMPO)</w:t>
      </w:r>
      <w:r>
        <w:rPr>
          <w:rFonts w:ascii="Arial" w:hAnsi="Arial" w:cs="Arial"/>
        </w:rPr>
        <w:t>;</w:t>
      </w:r>
    </w:p>
    <w:p w14:paraId="36D3EAA7" w14:textId="77777777" w:rsidR="00194A50" w:rsidRDefault="00194A50" w:rsidP="00FC0AB3">
      <w:pPr>
        <w:pStyle w:val="BNDES"/>
        <w:rPr>
          <w:rFonts w:ascii="Arial" w:hAnsi="Arial" w:cs="Arial"/>
        </w:rPr>
      </w:pPr>
    </w:p>
    <w:p w14:paraId="7ADDC79B" w14:textId="0F790AD9" w:rsidR="00C67F12" w:rsidRDefault="00194A50" w:rsidP="00D0280E">
      <w:pPr>
        <w:pStyle w:val="BNDES"/>
        <w:rPr>
          <w:rFonts w:ascii="Arial" w:hAnsi="Arial" w:cs="Arial"/>
        </w:rPr>
      </w:pPr>
      <w:r>
        <w:rPr>
          <w:rFonts w:ascii="Arial" w:hAnsi="Arial" w:cs="Arial"/>
        </w:rPr>
        <w:t xml:space="preserve">V – </w:t>
      </w:r>
      <w:r w:rsidR="00734DA8">
        <w:rPr>
          <w:rFonts w:ascii="Arial" w:hAnsi="Arial" w:cs="Arial"/>
        </w:rPr>
        <w:t>O</w:t>
      </w:r>
      <w:r w:rsidR="00734DA8" w:rsidRPr="00734DA8">
        <w:rPr>
          <w:rFonts w:ascii="Arial" w:hAnsi="Arial" w:cs="Arial"/>
        </w:rPr>
        <w:t xml:space="preserve">brigações dos </w:t>
      </w:r>
      <w:r w:rsidR="00734DA8">
        <w:rPr>
          <w:rFonts w:ascii="Arial" w:hAnsi="Arial" w:cs="Arial"/>
        </w:rPr>
        <w:t>A</w:t>
      </w:r>
      <w:r w:rsidR="00734DA8" w:rsidRPr="00734DA8">
        <w:rPr>
          <w:rFonts w:ascii="Arial" w:hAnsi="Arial" w:cs="Arial"/>
        </w:rPr>
        <w:t xml:space="preserve">gentes </w:t>
      </w:r>
      <w:r w:rsidR="00734DA8">
        <w:rPr>
          <w:rFonts w:ascii="Arial" w:hAnsi="Arial" w:cs="Arial"/>
        </w:rPr>
        <w:t>Financeiros e C</w:t>
      </w:r>
      <w:r w:rsidR="00734DA8" w:rsidRPr="00734DA8">
        <w:rPr>
          <w:rFonts w:ascii="Arial" w:hAnsi="Arial" w:cs="Arial"/>
        </w:rPr>
        <w:t xml:space="preserve">ondições de </w:t>
      </w:r>
      <w:r w:rsidR="00734DA8">
        <w:rPr>
          <w:rFonts w:ascii="Arial" w:hAnsi="Arial" w:cs="Arial"/>
        </w:rPr>
        <w:t>Liberação da C</w:t>
      </w:r>
      <w:r w:rsidR="00734DA8" w:rsidRPr="00734DA8">
        <w:rPr>
          <w:rFonts w:ascii="Arial" w:hAnsi="Arial" w:cs="Arial"/>
        </w:rPr>
        <w:t xml:space="preserve">olaboração </w:t>
      </w:r>
      <w:r w:rsidR="00734DA8">
        <w:rPr>
          <w:rFonts w:ascii="Arial" w:hAnsi="Arial" w:cs="Arial"/>
        </w:rPr>
        <w:t>F</w:t>
      </w:r>
      <w:r w:rsidR="00734DA8" w:rsidRPr="00734DA8">
        <w:rPr>
          <w:rFonts w:ascii="Arial" w:hAnsi="Arial" w:cs="Arial"/>
        </w:rPr>
        <w:t>inanceira</w:t>
      </w:r>
      <w:r w:rsidR="00C67F12">
        <w:rPr>
          <w:rFonts w:ascii="Arial" w:hAnsi="Arial" w:cs="Arial"/>
        </w:rPr>
        <w:t>;</w:t>
      </w:r>
      <w:r w:rsidR="0098181F">
        <w:rPr>
          <w:rFonts w:ascii="Arial" w:hAnsi="Arial" w:cs="Arial"/>
        </w:rPr>
        <w:t xml:space="preserve"> e</w:t>
      </w:r>
    </w:p>
    <w:p w14:paraId="293F7554" w14:textId="77777777" w:rsidR="00933D41" w:rsidRDefault="00933D41" w:rsidP="00D0280E">
      <w:pPr>
        <w:pStyle w:val="BNDES"/>
        <w:rPr>
          <w:rFonts w:ascii="Arial" w:hAnsi="Arial" w:cs="Arial"/>
        </w:rPr>
      </w:pPr>
    </w:p>
    <w:p w14:paraId="0284E046" w14:textId="77777777" w:rsidR="003F6E85" w:rsidRDefault="00913445" w:rsidP="00D0280E">
      <w:pPr>
        <w:pStyle w:val="BNDES"/>
        <w:rPr>
          <w:rFonts w:ascii="Arial" w:hAnsi="Arial" w:cs="Arial"/>
        </w:rPr>
      </w:pPr>
      <w:r>
        <w:rPr>
          <w:rFonts w:ascii="Arial" w:hAnsi="Arial" w:cs="Arial"/>
        </w:rPr>
        <w:t xml:space="preserve">VI – </w:t>
      </w:r>
      <w:r w:rsidRPr="00913445">
        <w:rPr>
          <w:rFonts w:ascii="Arial" w:hAnsi="Arial" w:cs="Arial"/>
        </w:rPr>
        <w:t xml:space="preserve">Sistemática para </w:t>
      </w:r>
      <w:r w:rsidR="00CF0BB3">
        <w:rPr>
          <w:rFonts w:ascii="Arial" w:hAnsi="Arial" w:cs="Arial"/>
        </w:rPr>
        <w:t>C</w:t>
      </w:r>
      <w:r w:rsidRPr="00913445">
        <w:rPr>
          <w:rFonts w:ascii="Arial" w:hAnsi="Arial" w:cs="Arial"/>
        </w:rPr>
        <w:t xml:space="preserve">álculo e </w:t>
      </w:r>
      <w:r w:rsidR="00CF0BB3">
        <w:rPr>
          <w:rFonts w:ascii="Arial" w:hAnsi="Arial" w:cs="Arial"/>
        </w:rPr>
        <w:t>A</w:t>
      </w:r>
      <w:r w:rsidRPr="00913445">
        <w:rPr>
          <w:rFonts w:ascii="Arial" w:hAnsi="Arial" w:cs="Arial"/>
        </w:rPr>
        <w:t>puração dos Juros</w:t>
      </w:r>
      <w:r>
        <w:rPr>
          <w:rFonts w:ascii="Arial" w:hAnsi="Arial" w:cs="Arial"/>
        </w:rPr>
        <w:t>.</w:t>
      </w:r>
      <w:r w:rsidR="00C5653F">
        <w:rPr>
          <w:rFonts w:ascii="Arial" w:hAnsi="Arial" w:cs="Arial"/>
        </w:rPr>
        <w:t xml:space="preserve"> </w:t>
      </w:r>
    </w:p>
    <w:p w14:paraId="3E9C9F38" w14:textId="77777777" w:rsidR="003F6E85" w:rsidRDefault="003F6E85" w:rsidP="00FC0AB3">
      <w:pPr>
        <w:pStyle w:val="BNDES"/>
        <w:rPr>
          <w:rFonts w:ascii="Arial" w:hAnsi="Arial" w:cs="Arial"/>
        </w:rPr>
      </w:pPr>
    </w:p>
    <w:sectPr w:rsidR="003F6E85" w:rsidSect="00734DA8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851" w:bottom="851" w:left="1134" w:header="709" w:footer="709" w:gutter="0"/>
      <w:pgNumType w:fmt="numberInDash"/>
      <w:cols w:space="708"/>
      <w:titlePg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AF20" w14:textId="77777777" w:rsidR="00C05B1B" w:rsidRDefault="00C05B1B">
      <w:r>
        <w:separator/>
      </w:r>
    </w:p>
  </w:endnote>
  <w:endnote w:type="continuationSeparator" w:id="0">
    <w:p w14:paraId="791F88AC" w14:textId="77777777" w:rsidR="00C05B1B" w:rsidRDefault="00C0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55F3" w14:textId="77777777" w:rsidR="00996BEE" w:rsidRDefault="00996BEE" w:rsidP="008C0C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0954286B" w14:textId="77777777" w:rsidR="00996BEE" w:rsidRDefault="00996BEE" w:rsidP="008C0C1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0A9F" w14:textId="77777777" w:rsidR="008E59B9" w:rsidRPr="00734DA8" w:rsidRDefault="008E59B9">
    <w:pPr>
      <w:pStyle w:val="Rodap"/>
      <w:jc w:val="right"/>
      <w:rPr>
        <w:rFonts w:ascii="Arial" w:hAnsi="Arial" w:cs="Arial"/>
        <w:b/>
        <w:i/>
        <w:sz w:val="20"/>
        <w:szCs w:val="20"/>
      </w:rPr>
    </w:pPr>
    <w:r w:rsidRPr="00734DA8">
      <w:rPr>
        <w:rFonts w:ascii="Arial" w:hAnsi="Arial" w:cs="Arial"/>
        <w:b/>
        <w:i/>
        <w:sz w:val="20"/>
        <w:szCs w:val="20"/>
      </w:rPr>
      <w:fldChar w:fldCharType="begin"/>
    </w:r>
    <w:r w:rsidRPr="00734DA8">
      <w:rPr>
        <w:rFonts w:ascii="Arial" w:hAnsi="Arial" w:cs="Arial"/>
        <w:b/>
        <w:i/>
        <w:sz w:val="20"/>
        <w:szCs w:val="20"/>
      </w:rPr>
      <w:instrText>PAGE   \* MERGEFORMAT</w:instrText>
    </w:r>
    <w:r w:rsidRPr="00734DA8">
      <w:rPr>
        <w:rFonts w:ascii="Arial" w:hAnsi="Arial" w:cs="Arial"/>
        <w:b/>
        <w:i/>
        <w:sz w:val="20"/>
        <w:szCs w:val="20"/>
      </w:rPr>
      <w:fldChar w:fldCharType="separate"/>
    </w:r>
    <w:r w:rsidR="00214858">
      <w:rPr>
        <w:rFonts w:ascii="Arial" w:hAnsi="Arial" w:cs="Arial"/>
        <w:b/>
        <w:i/>
        <w:noProof/>
        <w:sz w:val="20"/>
        <w:szCs w:val="20"/>
      </w:rPr>
      <w:t>- 4 -</w:t>
    </w:r>
    <w:r w:rsidRPr="00734DA8">
      <w:rPr>
        <w:rFonts w:ascii="Arial" w:hAnsi="Arial" w:cs="Arial"/>
        <w:b/>
        <w:i/>
        <w:sz w:val="20"/>
        <w:szCs w:val="20"/>
      </w:rPr>
      <w:fldChar w:fldCharType="end"/>
    </w:r>
  </w:p>
  <w:p w14:paraId="52A92E2F" w14:textId="77777777" w:rsidR="00996BEE" w:rsidRDefault="00996BEE" w:rsidP="008C0C1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0CFA" w14:textId="77777777" w:rsidR="00C05B1B" w:rsidRDefault="00C05B1B">
      <w:r>
        <w:separator/>
      </w:r>
    </w:p>
  </w:footnote>
  <w:footnote w:type="continuationSeparator" w:id="0">
    <w:p w14:paraId="20385AA9" w14:textId="77777777" w:rsidR="00C05B1B" w:rsidRDefault="00C0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9F10" w14:textId="3313B114" w:rsidR="00996BEE" w:rsidRPr="0074287C" w:rsidRDefault="003C317C" w:rsidP="00FC0AB3">
    <w:pPr>
      <w:tabs>
        <w:tab w:val="left" w:pos="-720"/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835"/>
      <w:jc w:val="right"/>
      <w:rPr>
        <w:rFonts w:ascii="Helv" w:hAnsi="Helv" w:cs="Helv"/>
        <w:color w:val="000000"/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314F756" wp14:editId="06E5A5BB">
          <wp:simplePos x="0" y="0"/>
          <wp:positionH relativeFrom="column">
            <wp:posOffset>-48895</wp:posOffset>
          </wp:positionH>
          <wp:positionV relativeFrom="paragraph">
            <wp:posOffset>-108585</wp:posOffset>
          </wp:positionV>
          <wp:extent cx="1619250" cy="342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EE" w:rsidRPr="00FC0AB3">
      <w:rPr>
        <w:rFonts w:ascii="Helv" w:hAnsi="Helv" w:cs="Helv"/>
        <w:b/>
        <w:color w:val="000000"/>
        <w:sz w:val="18"/>
        <w:szCs w:val="18"/>
      </w:rPr>
      <w:t>Classificação:</w:t>
    </w:r>
    <w:r w:rsidR="00996BEE" w:rsidRPr="00016344">
      <w:rPr>
        <w:rFonts w:ascii="Helv" w:hAnsi="Helv" w:cs="Helv"/>
        <w:color w:val="000000"/>
        <w:sz w:val="18"/>
        <w:szCs w:val="18"/>
      </w:rPr>
      <w:t xml:space="preserve"> Documento Ostensivo</w:t>
    </w:r>
  </w:p>
  <w:p w14:paraId="55250A71" w14:textId="77777777" w:rsidR="00996BEE" w:rsidRPr="0074287C" w:rsidRDefault="00996BEE" w:rsidP="00FC0AB3">
    <w:pPr>
      <w:pStyle w:val="Cabealho"/>
      <w:tabs>
        <w:tab w:val="left" w:pos="142"/>
      </w:tabs>
      <w:ind w:left="2835"/>
      <w:jc w:val="right"/>
      <w:rPr>
        <w:color w:val="000000"/>
      </w:rPr>
    </w:pPr>
    <w:r w:rsidRPr="00FC0AB3">
      <w:rPr>
        <w:rFonts w:ascii="Helv" w:hAnsi="Helv" w:cs="Helv"/>
        <w:b/>
        <w:color w:val="000000"/>
        <w:sz w:val="18"/>
        <w:szCs w:val="18"/>
      </w:rPr>
      <w:t>Unidade Gestora:</w:t>
    </w:r>
    <w:r w:rsidRPr="0074287C">
      <w:rPr>
        <w:rFonts w:ascii="Helv" w:hAnsi="Helv" w:cs="Helv"/>
        <w:color w:val="000000"/>
        <w:sz w:val="18"/>
        <w:szCs w:val="18"/>
      </w:rPr>
      <w:t xml:space="preserve"> </w:t>
    </w:r>
    <w:r w:rsidR="00F67DE7">
      <w:rPr>
        <w:rFonts w:ascii="Helv" w:hAnsi="Helv" w:cs="Helv"/>
        <w:color w:val="000000"/>
        <w:sz w:val="18"/>
        <w:szCs w:val="18"/>
      </w:rPr>
      <w:t>ADIG</w:t>
    </w:r>
    <w:r w:rsidRPr="0074287C">
      <w:rPr>
        <w:rFonts w:ascii="Helv" w:hAnsi="Helv" w:cs="Helv"/>
        <w:color w:val="000000"/>
        <w:sz w:val="18"/>
        <w:szCs w:val="18"/>
      </w:rPr>
      <w:t xml:space="preserve"> </w:t>
    </w:r>
  </w:p>
  <w:p w14:paraId="090E84E5" w14:textId="77777777" w:rsidR="00996BEE" w:rsidRDefault="00996B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438E" w14:textId="4BFAA5CA" w:rsidR="008E59B9" w:rsidRPr="0074287C" w:rsidRDefault="003C317C" w:rsidP="008E59B9">
    <w:pPr>
      <w:tabs>
        <w:tab w:val="left" w:pos="-720"/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2835"/>
      <w:jc w:val="right"/>
      <w:rPr>
        <w:rFonts w:ascii="Helv" w:hAnsi="Helv" w:cs="Helv"/>
        <w:color w:val="000000"/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58241" behindDoc="0" locked="0" layoutInCell="1" allowOverlap="1" wp14:anchorId="26616A99" wp14:editId="4EE540FA">
          <wp:simplePos x="0" y="0"/>
          <wp:positionH relativeFrom="column">
            <wp:posOffset>-48895</wp:posOffset>
          </wp:positionH>
          <wp:positionV relativeFrom="paragraph">
            <wp:posOffset>-108585</wp:posOffset>
          </wp:positionV>
          <wp:extent cx="1619250" cy="34290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9B9" w:rsidRPr="00FC0AB3">
      <w:rPr>
        <w:rFonts w:ascii="Helv" w:hAnsi="Helv" w:cs="Helv"/>
        <w:b/>
        <w:color w:val="000000"/>
        <w:sz w:val="18"/>
        <w:szCs w:val="18"/>
      </w:rPr>
      <w:t>Classificação:</w:t>
    </w:r>
    <w:r w:rsidR="008E59B9" w:rsidRPr="00016344">
      <w:rPr>
        <w:rFonts w:ascii="Helv" w:hAnsi="Helv" w:cs="Helv"/>
        <w:color w:val="000000"/>
        <w:sz w:val="18"/>
        <w:szCs w:val="18"/>
      </w:rPr>
      <w:t xml:space="preserve"> Documento Ostensivo</w:t>
    </w:r>
  </w:p>
  <w:p w14:paraId="4EA65F2C" w14:textId="77777777" w:rsidR="008E59B9" w:rsidRPr="0074287C" w:rsidRDefault="008E59B9" w:rsidP="008E59B9">
    <w:pPr>
      <w:pStyle w:val="Cabealho"/>
      <w:tabs>
        <w:tab w:val="left" w:pos="142"/>
      </w:tabs>
      <w:ind w:left="2835"/>
      <w:jc w:val="right"/>
      <w:rPr>
        <w:color w:val="000000"/>
      </w:rPr>
    </w:pPr>
    <w:r w:rsidRPr="00FC0AB3">
      <w:rPr>
        <w:rFonts w:ascii="Helv" w:hAnsi="Helv" w:cs="Helv"/>
        <w:b/>
        <w:color w:val="000000"/>
        <w:sz w:val="18"/>
        <w:szCs w:val="18"/>
      </w:rPr>
      <w:t>Unidade Gestora:</w:t>
    </w:r>
    <w:r w:rsidRPr="0074287C">
      <w:rPr>
        <w:rFonts w:ascii="Helv" w:hAnsi="Helv" w:cs="Helv"/>
        <w:color w:val="000000"/>
        <w:sz w:val="18"/>
        <w:szCs w:val="18"/>
      </w:rPr>
      <w:t xml:space="preserve"> </w:t>
    </w:r>
    <w:r>
      <w:rPr>
        <w:rFonts w:ascii="Helv" w:hAnsi="Helv" w:cs="Helv"/>
        <w:color w:val="000000"/>
        <w:sz w:val="18"/>
        <w:szCs w:val="18"/>
      </w:rPr>
      <w:t>ADIG</w:t>
    </w:r>
    <w:r w:rsidRPr="0074287C">
      <w:rPr>
        <w:rFonts w:ascii="Helv" w:hAnsi="Helv" w:cs="Helv"/>
        <w:color w:val="000000"/>
        <w:sz w:val="18"/>
        <w:szCs w:val="18"/>
      </w:rPr>
      <w:t xml:space="preserve"> </w:t>
    </w:r>
  </w:p>
  <w:p w14:paraId="5F9E0ADA" w14:textId="77777777" w:rsidR="008E59B9" w:rsidRDefault="008E59B9" w:rsidP="00D028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41B"/>
    <w:multiLevelType w:val="multilevel"/>
    <w:tmpl w:val="D09807B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2237ADC"/>
    <w:multiLevelType w:val="multilevel"/>
    <w:tmpl w:val="590C78C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" w15:restartNumberingAfterBreak="0">
    <w:nsid w:val="1F571679"/>
    <w:multiLevelType w:val="multilevel"/>
    <w:tmpl w:val="BDF86E1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337B39CE"/>
    <w:multiLevelType w:val="multilevel"/>
    <w:tmpl w:val="5B88DC2E"/>
    <w:lvl w:ilvl="0">
      <w:start w:val="1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cs="Times New Roman" w:hint="default"/>
      </w:rPr>
    </w:lvl>
  </w:abstractNum>
  <w:abstractNum w:abstractNumId="4" w15:restartNumberingAfterBreak="0">
    <w:nsid w:val="3BBE235E"/>
    <w:multiLevelType w:val="multilevel"/>
    <w:tmpl w:val="627497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  <w:b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tabs>
          <w:tab w:val="num" w:pos="1364"/>
        </w:tabs>
        <w:ind w:left="1364" w:hanging="1080"/>
      </w:pPr>
      <w:rPr>
        <w:rFonts w:ascii="Arial" w:eastAsia="Times New Roman" w:hAnsi="Arial" w:cs="Arial"/>
        <w:b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5" w15:restartNumberingAfterBreak="0">
    <w:nsid w:val="475A0ABA"/>
    <w:multiLevelType w:val="multilevel"/>
    <w:tmpl w:val="A1B04CE8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6" w15:restartNumberingAfterBreak="0">
    <w:nsid w:val="4C6037FC"/>
    <w:multiLevelType w:val="hybridMultilevel"/>
    <w:tmpl w:val="99F6EFC4"/>
    <w:lvl w:ilvl="0" w:tplc="BD68C2C2">
      <w:start w:val="1"/>
      <w:numFmt w:val="lowerLetter"/>
      <w:lvlText w:val="%1)"/>
      <w:lvlJc w:val="left"/>
      <w:pPr>
        <w:ind w:left="19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DF628A5"/>
    <w:multiLevelType w:val="multilevel"/>
    <w:tmpl w:val="1E341F8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8" w15:restartNumberingAfterBreak="0">
    <w:nsid w:val="67044918"/>
    <w:multiLevelType w:val="multilevel"/>
    <w:tmpl w:val="B3E28A4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7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9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47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2160"/>
      </w:pPr>
      <w:rPr>
        <w:rFonts w:hint="default"/>
        <w:b/>
      </w:rPr>
    </w:lvl>
  </w:abstractNum>
  <w:abstractNum w:abstractNumId="9" w15:restartNumberingAfterBreak="0">
    <w:nsid w:val="694410A8"/>
    <w:multiLevelType w:val="multilevel"/>
    <w:tmpl w:val="4B02DED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6F527567"/>
    <w:multiLevelType w:val="multilevel"/>
    <w:tmpl w:val="85E41FB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 w16cid:durableId="547492760">
    <w:abstractNumId w:val="4"/>
  </w:num>
  <w:num w:numId="2" w16cid:durableId="1601642728">
    <w:abstractNumId w:val="0"/>
  </w:num>
  <w:num w:numId="3" w16cid:durableId="1662538513">
    <w:abstractNumId w:val="7"/>
  </w:num>
  <w:num w:numId="4" w16cid:durableId="91821720">
    <w:abstractNumId w:val="9"/>
  </w:num>
  <w:num w:numId="5" w16cid:durableId="200284079">
    <w:abstractNumId w:val="1"/>
  </w:num>
  <w:num w:numId="6" w16cid:durableId="1641417086">
    <w:abstractNumId w:val="10"/>
  </w:num>
  <w:num w:numId="7" w16cid:durableId="421343424">
    <w:abstractNumId w:val="2"/>
  </w:num>
  <w:num w:numId="8" w16cid:durableId="1285505020">
    <w:abstractNumId w:val="6"/>
  </w:num>
  <w:num w:numId="9" w16cid:durableId="448090643">
    <w:abstractNumId w:val="8"/>
  </w:num>
  <w:num w:numId="10" w16cid:durableId="1747339783">
    <w:abstractNumId w:val="5"/>
  </w:num>
  <w:num w:numId="11" w16cid:durableId="154147488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formatting="1" w:enforcement="1" w:cryptProviderType="rsaAES" w:cryptAlgorithmClass="hash" w:cryptAlgorithmType="typeAny" w:cryptAlgorithmSid="14" w:cryptSpinCount="100000" w:hash="Ql/apfCIRqSulmyeIIchqQHYjOKoWn9SQzJldzCTuNAlDdnBD1CH422LJZs+ma5FKCYNLHMT//rgOLNp9GYWSA==" w:salt="/lWRhWi63DEavXkdL0ae2A=="/>
  <w:defaultTabStop w:val="709"/>
  <w:hyphenationZone w:val="425"/>
  <w:clickAndTypeStyle w:val="BNDES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D"/>
    <w:rsid w:val="00000AAC"/>
    <w:rsid w:val="00000CB1"/>
    <w:rsid w:val="00001160"/>
    <w:rsid w:val="00001DCB"/>
    <w:rsid w:val="00001F03"/>
    <w:rsid w:val="00002025"/>
    <w:rsid w:val="00003F56"/>
    <w:rsid w:val="00004529"/>
    <w:rsid w:val="00013E50"/>
    <w:rsid w:val="00016344"/>
    <w:rsid w:val="000167FF"/>
    <w:rsid w:val="000176C9"/>
    <w:rsid w:val="00021B1C"/>
    <w:rsid w:val="00026485"/>
    <w:rsid w:val="00027A87"/>
    <w:rsid w:val="00027BF3"/>
    <w:rsid w:val="0003159B"/>
    <w:rsid w:val="000323E3"/>
    <w:rsid w:val="000332CC"/>
    <w:rsid w:val="0003588B"/>
    <w:rsid w:val="00035B7B"/>
    <w:rsid w:val="00036E2E"/>
    <w:rsid w:val="00037DBF"/>
    <w:rsid w:val="00041DEB"/>
    <w:rsid w:val="00042A64"/>
    <w:rsid w:val="000441F7"/>
    <w:rsid w:val="00050E1C"/>
    <w:rsid w:val="00052B27"/>
    <w:rsid w:val="000549D4"/>
    <w:rsid w:val="00054AD2"/>
    <w:rsid w:val="0005785A"/>
    <w:rsid w:val="0006271C"/>
    <w:rsid w:val="0006620D"/>
    <w:rsid w:val="000673F1"/>
    <w:rsid w:val="000674DD"/>
    <w:rsid w:val="000733CA"/>
    <w:rsid w:val="00073864"/>
    <w:rsid w:val="000747FE"/>
    <w:rsid w:val="000800A7"/>
    <w:rsid w:val="000820FF"/>
    <w:rsid w:val="00086A44"/>
    <w:rsid w:val="000907FC"/>
    <w:rsid w:val="00092DED"/>
    <w:rsid w:val="00093388"/>
    <w:rsid w:val="000946E4"/>
    <w:rsid w:val="000979FD"/>
    <w:rsid w:val="000A3DB1"/>
    <w:rsid w:val="000A623A"/>
    <w:rsid w:val="000A67C9"/>
    <w:rsid w:val="000B2319"/>
    <w:rsid w:val="000B3817"/>
    <w:rsid w:val="000B40AD"/>
    <w:rsid w:val="000B4A8B"/>
    <w:rsid w:val="000B59D3"/>
    <w:rsid w:val="000B7EE7"/>
    <w:rsid w:val="000C0F1C"/>
    <w:rsid w:val="000C1575"/>
    <w:rsid w:val="000C2D16"/>
    <w:rsid w:val="000C446A"/>
    <w:rsid w:val="000C5AFE"/>
    <w:rsid w:val="000C6FBE"/>
    <w:rsid w:val="000D2CC1"/>
    <w:rsid w:val="000E1AAD"/>
    <w:rsid w:val="000E7E5E"/>
    <w:rsid w:val="000F093E"/>
    <w:rsid w:val="000F20C7"/>
    <w:rsid w:val="000F4B8C"/>
    <w:rsid w:val="001006AB"/>
    <w:rsid w:val="001040FF"/>
    <w:rsid w:val="00111350"/>
    <w:rsid w:val="001141CB"/>
    <w:rsid w:val="00114D7F"/>
    <w:rsid w:val="00115526"/>
    <w:rsid w:val="00116BF2"/>
    <w:rsid w:val="00123385"/>
    <w:rsid w:val="00125AB4"/>
    <w:rsid w:val="00127320"/>
    <w:rsid w:val="00134EDC"/>
    <w:rsid w:val="00137A77"/>
    <w:rsid w:val="0014006B"/>
    <w:rsid w:val="00141172"/>
    <w:rsid w:val="00141891"/>
    <w:rsid w:val="001478DA"/>
    <w:rsid w:val="0015107D"/>
    <w:rsid w:val="00151137"/>
    <w:rsid w:val="001525CF"/>
    <w:rsid w:val="00153CC8"/>
    <w:rsid w:val="0016242C"/>
    <w:rsid w:val="00162AB0"/>
    <w:rsid w:val="00163BE6"/>
    <w:rsid w:val="001702A6"/>
    <w:rsid w:val="001726D7"/>
    <w:rsid w:val="00182A38"/>
    <w:rsid w:val="0018489F"/>
    <w:rsid w:val="00187AC8"/>
    <w:rsid w:val="001916E2"/>
    <w:rsid w:val="00191DBF"/>
    <w:rsid w:val="00194A50"/>
    <w:rsid w:val="0019572B"/>
    <w:rsid w:val="001971B7"/>
    <w:rsid w:val="00197519"/>
    <w:rsid w:val="001A059C"/>
    <w:rsid w:val="001A0866"/>
    <w:rsid w:val="001A0BB1"/>
    <w:rsid w:val="001A54CD"/>
    <w:rsid w:val="001A7B51"/>
    <w:rsid w:val="001B0C27"/>
    <w:rsid w:val="001B1A0A"/>
    <w:rsid w:val="001B240F"/>
    <w:rsid w:val="001B2E3C"/>
    <w:rsid w:val="001B5B79"/>
    <w:rsid w:val="001C259E"/>
    <w:rsid w:val="001C50EC"/>
    <w:rsid w:val="001C7F56"/>
    <w:rsid w:val="001D190B"/>
    <w:rsid w:val="001D3318"/>
    <w:rsid w:val="001D431A"/>
    <w:rsid w:val="001D4A0B"/>
    <w:rsid w:val="001E04FF"/>
    <w:rsid w:val="001E295E"/>
    <w:rsid w:val="001E3AE1"/>
    <w:rsid w:val="001E6EF4"/>
    <w:rsid w:val="001F2926"/>
    <w:rsid w:val="001F4C2E"/>
    <w:rsid w:val="001F7ED2"/>
    <w:rsid w:val="00203E8B"/>
    <w:rsid w:val="0020448F"/>
    <w:rsid w:val="00204AB8"/>
    <w:rsid w:val="00210053"/>
    <w:rsid w:val="00211FE8"/>
    <w:rsid w:val="00212BC2"/>
    <w:rsid w:val="00214858"/>
    <w:rsid w:val="002161F1"/>
    <w:rsid w:val="00216FA8"/>
    <w:rsid w:val="00217664"/>
    <w:rsid w:val="00220A49"/>
    <w:rsid w:val="00222DA0"/>
    <w:rsid w:val="00225DF8"/>
    <w:rsid w:val="00226976"/>
    <w:rsid w:val="00226992"/>
    <w:rsid w:val="002275AB"/>
    <w:rsid w:val="00227EA4"/>
    <w:rsid w:val="0024076F"/>
    <w:rsid w:val="00243D67"/>
    <w:rsid w:val="00244349"/>
    <w:rsid w:val="002459AD"/>
    <w:rsid w:val="00245E46"/>
    <w:rsid w:val="00246A3A"/>
    <w:rsid w:val="00252C75"/>
    <w:rsid w:val="0025361A"/>
    <w:rsid w:val="00256BE8"/>
    <w:rsid w:val="0025784D"/>
    <w:rsid w:val="00264212"/>
    <w:rsid w:val="00264767"/>
    <w:rsid w:val="00264EBA"/>
    <w:rsid w:val="0026523F"/>
    <w:rsid w:val="00271CA2"/>
    <w:rsid w:val="00277DCD"/>
    <w:rsid w:val="00277F1B"/>
    <w:rsid w:val="00280BBE"/>
    <w:rsid w:val="00287C6C"/>
    <w:rsid w:val="002919B2"/>
    <w:rsid w:val="00292917"/>
    <w:rsid w:val="00292E6D"/>
    <w:rsid w:val="00297065"/>
    <w:rsid w:val="002A0C8B"/>
    <w:rsid w:val="002A1517"/>
    <w:rsid w:val="002A2B5F"/>
    <w:rsid w:val="002A49C2"/>
    <w:rsid w:val="002A65BD"/>
    <w:rsid w:val="002A7661"/>
    <w:rsid w:val="002B1E1E"/>
    <w:rsid w:val="002B523D"/>
    <w:rsid w:val="002B58B9"/>
    <w:rsid w:val="002B7CF6"/>
    <w:rsid w:val="002C098D"/>
    <w:rsid w:val="002D01B6"/>
    <w:rsid w:val="002D0E92"/>
    <w:rsid w:val="002D10BB"/>
    <w:rsid w:val="002D32C4"/>
    <w:rsid w:val="002D7224"/>
    <w:rsid w:val="002E1946"/>
    <w:rsid w:val="002E2B0A"/>
    <w:rsid w:val="002E5ECF"/>
    <w:rsid w:val="002E6B9B"/>
    <w:rsid w:val="002E7BEF"/>
    <w:rsid w:val="002F1647"/>
    <w:rsid w:val="002F26E7"/>
    <w:rsid w:val="002F356A"/>
    <w:rsid w:val="002F362D"/>
    <w:rsid w:val="002F3E26"/>
    <w:rsid w:val="002F4AEA"/>
    <w:rsid w:val="002F5523"/>
    <w:rsid w:val="003026FD"/>
    <w:rsid w:val="00304330"/>
    <w:rsid w:val="00306FE0"/>
    <w:rsid w:val="0031055D"/>
    <w:rsid w:val="00311311"/>
    <w:rsid w:val="003119D4"/>
    <w:rsid w:val="0031575D"/>
    <w:rsid w:val="00317D41"/>
    <w:rsid w:val="003232CF"/>
    <w:rsid w:val="00325B25"/>
    <w:rsid w:val="0033566A"/>
    <w:rsid w:val="0033635B"/>
    <w:rsid w:val="003364DF"/>
    <w:rsid w:val="003365FD"/>
    <w:rsid w:val="003405FD"/>
    <w:rsid w:val="00344997"/>
    <w:rsid w:val="00346949"/>
    <w:rsid w:val="00347E70"/>
    <w:rsid w:val="00350E40"/>
    <w:rsid w:val="00355A5D"/>
    <w:rsid w:val="00355F02"/>
    <w:rsid w:val="00356BC5"/>
    <w:rsid w:val="003644A4"/>
    <w:rsid w:val="00366B5E"/>
    <w:rsid w:val="003709B3"/>
    <w:rsid w:val="00371AEE"/>
    <w:rsid w:val="00373831"/>
    <w:rsid w:val="003743C6"/>
    <w:rsid w:val="00375C35"/>
    <w:rsid w:val="00375E33"/>
    <w:rsid w:val="003767C2"/>
    <w:rsid w:val="00380734"/>
    <w:rsid w:val="00381ECF"/>
    <w:rsid w:val="00382583"/>
    <w:rsid w:val="00392914"/>
    <w:rsid w:val="00394E1B"/>
    <w:rsid w:val="00395F58"/>
    <w:rsid w:val="00396426"/>
    <w:rsid w:val="003A0370"/>
    <w:rsid w:val="003A0C9E"/>
    <w:rsid w:val="003A5412"/>
    <w:rsid w:val="003B0B3C"/>
    <w:rsid w:val="003B2968"/>
    <w:rsid w:val="003B332E"/>
    <w:rsid w:val="003B34E7"/>
    <w:rsid w:val="003B4C7E"/>
    <w:rsid w:val="003B6B7F"/>
    <w:rsid w:val="003B71F2"/>
    <w:rsid w:val="003C06EC"/>
    <w:rsid w:val="003C2310"/>
    <w:rsid w:val="003C24D5"/>
    <w:rsid w:val="003C317C"/>
    <w:rsid w:val="003C3954"/>
    <w:rsid w:val="003C4932"/>
    <w:rsid w:val="003C5AB8"/>
    <w:rsid w:val="003C6518"/>
    <w:rsid w:val="003D04CA"/>
    <w:rsid w:val="003D0D81"/>
    <w:rsid w:val="003D1F46"/>
    <w:rsid w:val="003D20A7"/>
    <w:rsid w:val="003D6451"/>
    <w:rsid w:val="003D663C"/>
    <w:rsid w:val="003D754B"/>
    <w:rsid w:val="003E5A17"/>
    <w:rsid w:val="003E7A13"/>
    <w:rsid w:val="003E7B78"/>
    <w:rsid w:val="003F08D6"/>
    <w:rsid w:val="003F1510"/>
    <w:rsid w:val="003F2935"/>
    <w:rsid w:val="003F35DD"/>
    <w:rsid w:val="003F5B48"/>
    <w:rsid w:val="003F5C8D"/>
    <w:rsid w:val="003F5EFC"/>
    <w:rsid w:val="003F6203"/>
    <w:rsid w:val="003F6E85"/>
    <w:rsid w:val="00400260"/>
    <w:rsid w:val="00400AFF"/>
    <w:rsid w:val="004029D2"/>
    <w:rsid w:val="00402B4E"/>
    <w:rsid w:val="00404E5C"/>
    <w:rsid w:val="004054C8"/>
    <w:rsid w:val="00406F24"/>
    <w:rsid w:val="0040794A"/>
    <w:rsid w:val="004079D4"/>
    <w:rsid w:val="0041358F"/>
    <w:rsid w:val="004144C8"/>
    <w:rsid w:val="004158E2"/>
    <w:rsid w:val="0041756E"/>
    <w:rsid w:val="0042015F"/>
    <w:rsid w:val="00422814"/>
    <w:rsid w:val="00423C4F"/>
    <w:rsid w:val="0043238F"/>
    <w:rsid w:val="0043395D"/>
    <w:rsid w:val="0043400B"/>
    <w:rsid w:val="00434B10"/>
    <w:rsid w:val="004418D9"/>
    <w:rsid w:val="004422D0"/>
    <w:rsid w:val="0044663E"/>
    <w:rsid w:val="00451517"/>
    <w:rsid w:val="004552CB"/>
    <w:rsid w:val="00456898"/>
    <w:rsid w:val="00460BFC"/>
    <w:rsid w:val="004611B2"/>
    <w:rsid w:val="00462411"/>
    <w:rsid w:val="004624D5"/>
    <w:rsid w:val="00467660"/>
    <w:rsid w:val="00470CB0"/>
    <w:rsid w:val="00473DA7"/>
    <w:rsid w:val="00480AA3"/>
    <w:rsid w:val="00481303"/>
    <w:rsid w:val="00483D06"/>
    <w:rsid w:val="00484BF5"/>
    <w:rsid w:val="004940A5"/>
    <w:rsid w:val="00494A4A"/>
    <w:rsid w:val="00495861"/>
    <w:rsid w:val="004969FA"/>
    <w:rsid w:val="004A043F"/>
    <w:rsid w:val="004A0876"/>
    <w:rsid w:val="004A2FCF"/>
    <w:rsid w:val="004A406E"/>
    <w:rsid w:val="004A5D12"/>
    <w:rsid w:val="004A691E"/>
    <w:rsid w:val="004A6DF2"/>
    <w:rsid w:val="004A7EB2"/>
    <w:rsid w:val="004B03B6"/>
    <w:rsid w:val="004B0FE9"/>
    <w:rsid w:val="004B2D09"/>
    <w:rsid w:val="004C009A"/>
    <w:rsid w:val="004C0A5A"/>
    <w:rsid w:val="004C3406"/>
    <w:rsid w:val="004C61DE"/>
    <w:rsid w:val="004C7AA2"/>
    <w:rsid w:val="004D1A07"/>
    <w:rsid w:val="004D43ED"/>
    <w:rsid w:val="004D645E"/>
    <w:rsid w:val="004D6AD1"/>
    <w:rsid w:val="004D73E5"/>
    <w:rsid w:val="004E23A3"/>
    <w:rsid w:val="004E3787"/>
    <w:rsid w:val="004F30DB"/>
    <w:rsid w:val="004F66B0"/>
    <w:rsid w:val="004F66C2"/>
    <w:rsid w:val="004F6E45"/>
    <w:rsid w:val="00503EE9"/>
    <w:rsid w:val="00505862"/>
    <w:rsid w:val="00506400"/>
    <w:rsid w:val="005064CD"/>
    <w:rsid w:val="00507CE4"/>
    <w:rsid w:val="005100CB"/>
    <w:rsid w:val="0051049F"/>
    <w:rsid w:val="00515068"/>
    <w:rsid w:val="00515AF6"/>
    <w:rsid w:val="005178AD"/>
    <w:rsid w:val="00521CE3"/>
    <w:rsid w:val="005229B7"/>
    <w:rsid w:val="0052739D"/>
    <w:rsid w:val="005322B9"/>
    <w:rsid w:val="00532AAD"/>
    <w:rsid w:val="00534C12"/>
    <w:rsid w:val="00542A7B"/>
    <w:rsid w:val="005434F1"/>
    <w:rsid w:val="0054667D"/>
    <w:rsid w:val="00551E42"/>
    <w:rsid w:val="00553D6A"/>
    <w:rsid w:val="00555FA6"/>
    <w:rsid w:val="00556916"/>
    <w:rsid w:val="00560CF7"/>
    <w:rsid w:val="00561E9A"/>
    <w:rsid w:val="00562EAE"/>
    <w:rsid w:val="00565C5A"/>
    <w:rsid w:val="00570480"/>
    <w:rsid w:val="00571F06"/>
    <w:rsid w:val="005723E4"/>
    <w:rsid w:val="005736E8"/>
    <w:rsid w:val="00574488"/>
    <w:rsid w:val="00574B90"/>
    <w:rsid w:val="00575B5F"/>
    <w:rsid w:val="0057702F"/>
    <w:rsid w:val="00580077"/>
    <w:rsid w:val="00581B10"/>
    <w:rsid w:val="00582CA1"/>
    <w:rsid w:val="00586B09"/>
    <w:rsid w:val="00591361"/>
    <w:rsid w:val="005960BA"/>
    <w:rsid w:val="005978B4"/>
    <w:rsid w:val="005A2302"/>
    <w:rsid w:val="005A621D"/>
    <w:rsid w:val="005A78C8"/>
    <w:rsid w:val="005B198F"/>
    <w:rsid w:val="005B31CE"/>
    <w:rsid w:val="005B3CD8"/>
    <w:rsid w:val="005B4972"/>
    <w:rsid w:val="005B6F5E"/>
    <w:rsid w:val="005B7E85"/>
    <w:rsid w:val="005B7E9E"/>
    <w:rsid w:val="005C4C31"/>
    <w:rsid w:val="005C6198"/>
    <w:rsid w:val="005C747A"/>
    <w:rsid w:val="005C7CC6"/>
    <w:rsid w:val="005D07CC"/>
    <w:rsid w:val="005E1AF1"/>
    <w:rsid w:val="005E208C"/>
    <w:rsid w:val="005E4FA2"/>
    <w:rsid w:val="005E564B"/>
    <w:rsid w:val="005E5AE9"/>
    <w:rsid w:val="005E7BE7"/>
    <w:rsid w:val="005E7D18"/>
    <w:rsid w:val="005F0235"/>
    <w:rsid w:val="005F1825"/>
    <w:rsid w:val="005F2D29"/>
    <w:rsid w:val="005F5201"/>
    <w:rsid w:val="005F5773"/>
    <w:rsid w:val="005F5CC1"/>
    <w:rsid w:val="005F6DE1"/>
    <w:rsid w:val="00600C2C"/>
    <w:rsid w:val="00602573"/>
    <w:rsid w:val="00604373"/>
    <w:rsid w:val="00605B03"/>
    <w:rsid w:val="00612D48"/>
    <w:rsid w:val="0061616E"/>
    <w:rsid w:val="00616B78"/>
    <w:rsid w:val="0062266A"/>
    <w:rsid w:val="00624A6B"/>
    <w:rsid w:val="00626915"/>
    <w:rsid w:val="00633B25"/>
    <w:rsid w:val="00635685"/>
    <w:rsid w:val="006404C5"/>
    <w:rsid w:val="0064753F"/>
    <w:rsid w:val="0065052D"/>
    <w:rsid w:val="00651389"/>
    <w:rsid w:val="00653033"/>
    <w:rsid w:val="00653322"/>
    <w:rsid w:val="00654280"/>
    <w:rsid w:val="0065621F"/>
    <w:rsid w:val="00656D90"/>
    <w:rsid w:val="006572DF"/>
    <w:rsid w:val="00661234"/>
    <w:rsid w:val="00661514"/>
    <w:rsid w:val="006638FB"/>
    <w:rsid w:val="0066496A"/>
    <w:rsid w:val="006674ED"/>
    <w:rsid w:val="00667952"/>
    <w:rsid w:val="00667B63"/>
    <w:rsid w:val="00667C20"/>
    <w:rsid w:val="00671475"/>
    <w:rsid w:val="00673AEF"/>
    <w:rsid w:val="00674D19"/>
    <w:rsid w:val="006750C0"/>
    <w:rsid w:val="0067638C"/>
    <w:rsid w:val="0068190D"/>
    <w:rsid w:val="00682D71"/>
    <w:rsid w:val="006867A5"/>
    <w:rsid w:val="00687EAE"/>
    <w:rsid w:val="006922A1"/>
    <w:rsid w:val="0069391D"/>
    <w:rsid w:val="00693B25"/>
    <w:rsid w:val="006949E6"/>
    <w:rsid w:val="00694A40"/>
    <w:rsid w:val="00696620"/>
    <w:rsid w:val="00697210"/>
    <w:rsid w:val="006A1234"/>
    <w:rsid w:val="006A157A"/>
    <w:rsid w:val="006B0D76"/>
    <w:rsid w:val="006B0DFF"/>
    <w:rsid w:val="006B1BE2"/>
    <w:rsid w:val="006B3FF2"/>
    <w:rsid w:val="006B56FA"/>
    <w:rsid w:val="006B6F89"/>
    <w:rsid w:val="006B7511"/>
    <w:rsid w:val="006B7A80"/>
    <w:rsid w:val="006C3C37"/>
    <w:rsid w:val="006C774E"/>
    <w:rsid w:val="006D1C5F"/>
    <w:rsid w:val="006D43F3"/>
    <w:rsid w:val="006D7122"/>
    <w:rsid w:val="006E34C3"/>
    <w:rsid w:val="006E3939"/>
    <w:rsid w:val="006E792D"/>
    <w:rsid w:val="006E7D89"/>
    <w:rsid w:val="006F111A"/>
    <w:rsid w:val="006F3777"/>
    <w:rsid w:val="006F4C0E"/>
    <w:rsid w:val="006F5CD0"/>
    <w:rsid w:val="006F71C0"/>
    <w:rsid w:val="00701FBB"/>
    <w:rsid w:val="00703877"/>
    <w:rsid w:val="00705D71"/>
    <w:rsid w:val="007068E8"/>
    <w:rsid w:val="00706A7C"/>
    <w:rsid w:val="007174CA"/>
    <w:rsid w:val="00721E6F"/>
    <w:rsid w:val="00722E21"/>
    <w:rsid w:val="0072672B"/>
    <w:rsid w:val="00726F2A"/>
    <w:rsid w:val="00734257"/>
    <w:rsid w:val="00734979"/>
    <w:rsid w:val="00734DA8"/>
    <w:rsid w:val="00736DDE"/>
    <w:rsid w:val="00737BFB"/>
    <w:rsid w:val="00743378"/>
    <w:rsid w:val="007439D6"/>
    <w:rsid w:val="007440F7"/>
    <w:rsid w:val="007450A7"/>
    <w:rsid w:val="0074580B"/>
    <w:rsid w:val="0075108A"/>
    <w:rsid w:val="00754F7F"/>
    <w:rsid w:val="007616D3"/>
    <w:rsid w:val="00770D03"/>
    <w:rsid w:val="007710B7"/>
    <w:rsid w:val="007759AB"/>
    <w:rsid w:val="00776ACE"/>
    <w:rsid w:val="0078281C"/>
    <w:rsid w:val="00786D17"/>
    <w:rsid w:val="0078775C"/>
    <w:rsid w:val="007901F0"/>
    <w:rsid w:val="00792FFD"/>
    <w:rsid w:val="0079378A"/>
    <w:rsid w:val="00794C93"/>
    <w:rsid w:val="007950CE"/>
    <w:rsid w:val="007957B5"/>
    <w:rsid w:val="007A1269"/>
    <w:rsid w:val="007A1863"/>
    <w:rsid w:val="007A3894"/>
    <w:rsid w:val="007A4EA8"/>
    <w:rsid w:val="007A5559"/>
    <w:rsid w:val="007A5E42"/>
    <w:rsid w:val="007A6456"/>
    <w:rsid w:val="007A78D9"/>
    <w:rsid w:val="007B2395"/>
    <w:rsid w:val="007B27B8"/>
    <w:rsid w:val="007B68EC"/>
    <w:rsid w:val="007C0D24"/>
    <w:rsid w:val="007C2C76"/>
    <w:rsid w:val="007C5EAB"/>
    <w:rsid w:val="007D06D0"/>
    <w:rsid w:val="007D12BB"/>
    <w:rsid w:val="007D3E72"/>
    <w:rsid w:val="007E0F1D"/>
    <w:rsid w:val="007E14C9"/>
    <w:rsid w:val="007E45BA"/>
    <w:rsid w:val="007E5BC0"/>
    <w:rsid w:val="007F0629"/>
    <w:rsid w:val="007F2E27"/>
    <w:rsid w:val="007F4068"/>
    <w:rsid w:val="007F5E33"/>
    <w:rsid w:val="007F5F14"/>
    <w:rsid w:val="00806A89"/>
    <w:rsid w:val="008149B0"/>
    <w:rsid w:val="00816B02"/>
    <w:rsid w:val="00816E1B"/>
    <w:rsid w:val="008170DF"/>
    <w:rsid w:val="008253A5"/>
    <w:rsid w:val="008257B4"/>
    <w:rsid w:val="0082591F"/>
    <w:rsid w:val="00827EAC"/>
    <w:rsid w:val="0083043D"/>
    <w:rsid w:val="00831781"/>
    <w:rsid w:val="00831D80"/>
    <w:rsid w:val="008337C7"/>
    <w:rsid w:val="00834B61"/>
    <w:rsid w:val="00834E89"/>
    <w:rsid w:val="00836EEA"/>
    <w:rsid w:val="008438C9"/>
    <w:rsid w:val="00844FA0"/>
    <w:rsid w:val="0084665F"/>
    <w:rsid w:val="0085123D"/>
    <w:rsid w:val="008527B1"/>
    <w:rsid w:val="00857BDA"/>
    <w:rsid w:val="00862DA2"/>
    <w:rsid w:val="00866635"/>
    <w:rsid w:val="00867C7D"/>
    <w:rsid w:val="00871FDF"/>
    <w:rsid w:val="00874C8D"/>
    <w:rsid w:val="008760A2"/>
    <w:rsid w:val="0088227F"/>
    <w:rsid w:val="00885D69"/>
    <w:rsid w:val="00885E64"/>
    <w:rsid w:val="0088729A"/>
    <w:rsid w:val="00891046"/>
    <w:rsid w:val="0089492E"/>
    <w:rsid w:val="0089620E"/>
    <w:rsid w:val="008A191F"/>
    <w:rsid w:val="008A197D"/>
    <w:rsid w:val="008A2E57"/>
    <w:rsid w:val="008A3686"/>
    <w:rsid w:val="008A68B2"/>
    <w:rsid w:val="008B0D1F"/>
    <w:rsid w:val="008B4666"/>
    <w:rsid w:val="008B6014"/>
    <w:rsid w:val="008B6940"/>
    <w:rsid w:val="008C0C13"/>
    <w:rsid w:val="008C16E5"/>
    <w:rsid w:val="008C2B1E"/>
    <w:rsid w:val="008C324F"/>
    <w:rsid w:val="008C365A"/>
    <w:rsid w:val="008C4451"/>
    <w:rsid w:val="008C60A1"/>
    <w:rsid w:val="008C6686"/>
    <w:rsid w:val="008C752E"/>
    <w:rsid w:val="008C7B61"/>
    <w:rsid w:val="008D208B"/>
    <w:rsid w:val="008D2A06"/>
    <w:rsid w:val="008D2A13"/>
    <w:rsid w:val="008D30D9"/>
    <w:rsid w:val="008D45A6"/>
    <w:rsid w:val="008D4B8C"/>
    <w:rsid w:val="008D625F"/>
    <w:rsid w:val="008E03C9"/>
    <w:rsid w:val="008E1C42"/>
    <w:rsid w:val="008E30E1"/>
    <w:rsid w:val="008E59B9"/>
    <w:rsid w:val="008E7054"/>
    <w:rsid w:val="008F188A"/>
    <w:rsid w:val="008F4497"/>
    <w:rsid w:val="008F5E95"/>
    <w:rsid w:val="008F7012"/>
    <w:rsid w:val="008F7869"/>
    <w:rsid w:val="008F7C92"/>
    <w:rsid w:val="008F7EC6"/>
    <w:rsid w:val="009010F5"/>
    <w:rsid w:val="00902A36"/>
    <w:rsid w:val="0090366E"/>
    <w:rsid w:val="00903AE0"/>
    <w:rsid w:val="00904852"/>
    <w:rsid w:val="009050F4"/>
    <w:rsid w:val="0090626F"/>
    <w:rsid w:val="009079C2"/>
    <w:rsid w:val="0091006A"/>
    <w:rsid w:val="00911E24"/>
    <w:rsid w:val="00913445"/>
    <w:rsid w:val="0091412F"/>
    <w:rsid w:val="009141EB"/>
    <w:rsid w:val="00920D5B"/>
    <w:rsid w:val="00926775"/>
    <w:rsid w:val="00933D41"/>
    <w:rsid w:val="009343F5"/>
    <w:rsid w:val="00941509"/>
    <w:rsid w:val="00943036"/>
    <w:rsid w:val="00944A37"/>
    <w:rsid w:val="00950EB8"/>
    <w:rsid w:val="0095179B"/>
    <w:rsid w:val="00951ECF"/>
    <w:rsid w:val="0095367B"/>
    <w:rsid w:val="009555CE"/>
    <w:rsid w:val="0095599A"/>
    <w:rsid w:val="00955B51"/>
    <w:rsid w:val="0096019B"/>
    <w:rsid w:val="00961DB5"/>
    <w:rsid w:val="0096245E"/>
    <w:rsid w:val="0096422C"/>
    <w:rsid w:val="00965DA9"/>
    <w:rsid w:val="00972EB6"/>
    <w:rsid w:val="00974750"/>
    <w:rsid w:val="00974952"/>
    <w:rsid w:val="0097550C"/>
    <w:rsid w:val="00975FF4"/>
    <w:rsid w:val="009807D1"/>
    <w:rsid w:val="0098181F"/>
    <w:rsid w:val="00982A2B"/>
    <w:rsid w:val="00983C87"/>
    <w:rsid w:val="00986A48"/>
    <w:rsid w:val="00986FD8"/>
    <w:rsid w:val="009908C7"/>
    <w:rsid w:val="00991089"/>
    <w:rsid w:val="00995CE0"/>
    <w:rsid w:val="00996136"/>
    <w:rsid w:val="009965EA"/>
    <w:rsid w:val="00996BEE"/>
    <w:rsid w:val="00997282"/>
    <w:rsid w:val="009A0F79"/>
    <w:rsid w:val="009A25D0"/>
    <w:rsid w:val="009A25D1"/>
    <w:rsid w:val="009A4711"/>
    <w:rsid w:val="009A4B24"/>
    <w:rsid w:val="009A7128"/>
    <w:rsid w:val="009B120E"/>
    <w:rsid w:val="009B17FA"/>
    <w:rsid w:val="009B21E4"/>
    <w:rsid w:val="009B63C5"/>
    <w:rsid w:val="009B7D3A"/>
    <w:rsid w:val="009C0C57"/>
    <w:rsid w:val="009C4D8F"/>
    <w:rsid w:val="009D1BCE"/>
    <w:rsid w:val="009D1D05"/>
    <w:rsid w:val="009D3713"/>
    <w:rsid w:val="009D65CF"/>
    <w:rsid w:val="009D6A9B"/>
    <w:rsid w:val="009E3C55"/>
    <w:rsid w:val="009E483F"/>
    <w:rsid w:val="009E5748"/>
    <w:rsid w:val="009E6B78"/>
    <w:rsid w:val="009F12E2"/>
    <w:rsid w:val="009F1CA0"/>
    <w:rsid w:val="009F24C9"/>
    <w:rsid w:val="009F41FD"/>
    <w:rsid w:val="009F591C"/>
    <w:rsid w:val="009F76BF"/>
    <w:rsid w:val="00A01FF6"/>
    <w:rsid w:val="00A021A7"/>
    <w:rsid w:val="00A1112A"/>
    <w:rsid w:val="00A13562"/>
    <w:rsid w:val="00A1369B"/>
    <w:rsid w:val="00A13DC4"/>
    <w:rsid w:val="00A1463B"/>
    <w:rsid w:val="00A15894"/>
    <w:rsid w:val="00A15F70"/>
    <w:rsid w:val="00A227A8"/>
    <w:rsid w:val="00A23002"/>
    <w:rsid w:val="00A25FFF"/>
    <w:rsid w:val="00A2640F"/>
    <w:rsid w:val="00A273F0"/>
    <w:rsid w:val="00A325E9"/>
    <w:rsid w:val="00A32970"/>
    <w:rsid w:val="00A32FB5"/>
    <w:rsid w:val="00A33A3B"/>
    <w:rsid w:val="00A348B9"/>
    <w:rsid w:val="00A3599E"/>
    <w:rsid w:val="00A35A73"/>
    <w:rsid w:val="00A36B83"/>
    <w:rsid w:val="00A374FC"/>
    <w:rsid w:val="00A377DD"/>
    <w:rsid w:val="00A4681A"/>
    <w:rsid w:val="00A46A40"/>
    <w:rsid w:val="00A50631"/>
    <w:rsid w:val="00A56B4E"/>
    <w:rsid w:val="00A6012F"/>
    <w:rsid w:val="00A60362"/>
    <w:rsid w:val="00A625B8"/>
    <w:rsid w:val="00A6407C"/>
    <w:rsid w:val="00A64B40"/>
    <w:rsid w:val="00A64B4F"/>
    <w:rsid w:val="00A6642A"/>
    <w:rsid w:val="00A66B0A"/>
    <w:rsid w:val="00A7194E"/>
    <w:rsid w:val="00A755D0"/>
    <w:rsid w:val="00A77F14"/>
    <w:rsid w:val="00A80057"/>
    <w:rsid w:val="00A815CA"/>
    <w:rsid w:val="00A821EA"/>
    <w:rsid w:val="00A87DDE"/>
    <w:rsid w:val="00A93752"/>
    <w:rsid w:val="00A95B90"/>
    <w:rsid w:val="00AA0A53"/>
    <w:rsid w:val="00AA3AA4"/>
    <w:rsid w:val="00AA4498"/>
    <w:rsid w:val="00AA4AE1"/>
    <w:rsid w:val="00AA55F9"/>
    <w:rsid w:val="00AA5BEE"/>
    <w:rsid w:val="00AB07E1"/>
    <w:rsid w:val="00AC04D6"/>
    <w:rsid w:val="00AC14D3"/>
    <w:rsid w:val="00AC17F1"/>
    <w:rsid w:val="00AC4796"/>
    <w:rsid w:val="00AC53B7"/>
    <w:rsid w:val="00AC5469"/>
    <w:rsid w:val="00AC59CB"/>
    <w:rsid w:val="00AC6F31"/>
    <w:rsid w:val="00AD02D9"/>
    <w:rsid w:val="00AD0970"/>
    <w:rsid w:val="00AD250F"/>
    <w:rsid w:val="00AD6C37"/>
    <w:rsid w:val="00AE3DED"/>
    <w:rsid w:val="00AE5C1F"/>
    <w:rsid w:val="00AE607E"/>
    <w:rsid w:val="00AE7395"/>
    <w:rsid w:val="00AE7ABE"/>
    <w:rsid w:val="00AF2FCC"/>
    <w:rsid w:val="00AF40FF"/>
    <w:rsid w:val="00AF5168"/>
    <w:rsid w:val="00B00D83"/>
    <w:rsid w:val="00B07029"/>
    <w:rsid w:val="00B07F5A"/>
    <w:rsid w:val="00B10C76"/>
    <w:rsid w:val="00B11D2A"/>
    <w:rsid w:val="00B12B71"/>
    <w:rsid w:val="00B140CF"/>
    <w:rsid w:val="00B14FAD"/>
    <w:rsid w:val="00B20A69"/>
    <w:rsid w:val="00B20DC6"/>
    <w:rsid w:val="00B225D5"/>
    <w:rsid w:val="00B247F9"/>
    <w:rsid w:val="00B24DE8"/>
    <w:rsid w:val="00B2706E"/>
    <w:rsid w:val="00B31213"/>
    <w:rsid w:val="00B31B64"/>
    <w:rsid w:val="00B32A2A"/>
    <w:rsid w:val="00B3450A"/>
    <w:rsid w:val="00B350F8"/>
    <w:rsid w:val="00B35B1E"/>
    <w:rsid w:val="00B403C9"/>
    <w:rsid w:val="00B438CC"/>
    <w:rsid w:val="00B43AAE"/>
    <w:rsid w:val="00B46CE4"/>
    <w:rsid w:val="00B46D97"/>
    <w:rsid w:val="00B5098C"/>
    <w:rsid w:val="00B52A81"/>
    <w:rsid w:val="00B52C4B"/>
    <w:rsid w:val="00B52F0F"/>
    <w:rsid w:val="00B536AF"/>
    <w:rsid w:val="00B541B8"/>
    <w:rsid w:val="00B61541"/>
    <w:rsid w:val="00B61C62"/>
    <w:rsid w:val="00B61EEE"/>
    <w:rsid w:val="00B65C39"/>
    <w:rsid w:val="00B70519"/>
    <w:rsid w:val="00B7529F"/>
    <w:rsid w:val="00B7556D"/>
    <w:rsid w:val="00B82ABF"/>
    <w:rsid w:val="00B8368E"/>
    <w:rsid w:val="00B9587E"/>
    <w:rsid w:val="00B95EA3"/>
    <w:rsid w:val="00B978F0"/>
    <w:rsid w:val="00BA1CFD"/>
    <w:rsid w:val="00BA209E"/>
    <w:rsid w:val="00BA4129"/>
    <w:rsid w:val="00BA7B05"/>
    <w:rsid w:val="00BB0AF9"/>
    <w:rsid w:val="00BB12FD"/>
    <w:rsid w:val="00BB4359"/>
    <w:rsid w:val="00BB5760"/>
    <w:rsid w:val="00BB6CE0"/>
    <w:rsid w:val="00BC34F1"/>
    <w:rsid w:val="00BC53B5"/>
    <w:rsid w:val="00BD04DA"/>
    <w:rsid w:val="00BD1F0E"/>
    <w:rsid w:val="00BD25C0"/>
    <w:rsid w:val="00BD3DA5"/>
    <w:rsid w:val="00BE3627"/>
    <w:rsid w:val="00BE63A8"/>
    <w:rsid w:val="00BE6C52"/>
    <w:rsid w:val="00BE77FC"/>
    <w:rsid w:val="00BF4243"/>
    <w:rsid w:val="00BF479E"/>
    <w:rsid w:val="00BF4C8F"/>
    <w:rsid w:val="00BF52EE"/>
    <w:rsid w:val="00C00676"/>
    <w:rsid w:val="00C05B1B"/>
    <w:rsid w:val="00C10B60"/>
    <w:rsid w:val="00C13F17"/>
    <w:rsid w:val="00C14546"/>
    <w:rsid w:val="00C15ABB"/>
    <w:rsid w:val="00C15FAD"/>
    <w:rsid w:val="00C165F1"/>
    <w:rsid w:val="00C17958"/>
    <w:rsid w:val="00C22039"/>
    <w:rsid w:val="00C236D3"/>
    <w:rsid w:val="00C2573B"/>
    <w:rsid w:val="00C25BA5"/>
    <w:rsid w:val="00C26AEE"/>
    <w:rsid w:val="00C31140"/>
    <w:rsid w:val="00C41028"/>
    <w:rsid w:val="00C42FCB"/>
    <w:rsid w:val="00C4783A"/>
    <w:rsid w:val="00C50221"/>
    <w:rsid w:val="00C52CB8"/>
    <w:rsid w:val="00C544BB"/>
    <w:rsid w:val="00C55FCE"/>
    <w:rsid w:val="00C5653F"/>
    <w:rsid w:val="00C5716B"/>
    <w:rsid w:val="00C60408"/>
    <w:rsid w:val="00C61260"/>
    <w:rsid w:val="00C612D0"/>
    <w:rsid w:val="00C61F86"/>
    <w:rsid w:val="00C641BA"/>
    <w:rsid w:val="00C655DC"/>
    <w:rsid w:val="00C67F12"/>
    <w:rsid w:val="00C72002"/>
    <w:rsid w:val="00C723AE"/>
    <w:rsid w:val="00C75A12"/>
    <w:rsid w:val="00C777A5"/>
    <w:rsid w:val="00C80F79"/>
    <w:rsid w:val="00C8468B"/>
    <w:rsid w:val="00C864C5"/>
    <w:rsid w:val="00C864D4"/>
    <w:rsid w:val="00C86A69"/>
    <w:rsid w:val="00C90E1F"/>
    <w:rsid w:val="00C91DB7"/>
    <w:rsid w:val="00C9295F"/>
    <w:rsid w:val="00C962B4"/>
    <w:rsid w:val="00CA1970"/>
    <w:rsid w:val="00CA1ADF"/>
    <w:rsid w:val="00CA59DB"/>
    <w:rsid w:val="00CB04B2"/>
    <w:rsid w:val="00CB1905"/>
    <w:rsid w:val="00CB1D97"/>
    <w:rsid w:val="00CB4FE5"/>
    <w:rsid w:val="00CB574C"/>
    <w:rsid w:val="00CB689B"/>
    <w:rsid w:val="00CB6C63"/>
    <w:rsid w:val="00CC07A9"/>
    <w:rsid w:val="00CC0C96"/>
    <w:rsid w:val="00CC0FCD"/>
    <w:rsid w:val="00CD0335"/>
    <w:rsid w:val="00CD1470"/>
    <w:rsid w:val="00CD14CC"/>
    <w:rsid w:val="00CD7C2E"/>
    <w:rsid w:val="00CD7F2C"/>
    <w:rsid w:val="00CE04D0"/>
    <w:rsid w:val="00CE1599"/>
    <w:rsid w:val="00CE3414"/>
    <w:rsid w:val="00CE4D25"/>
    <w:rsid w:val="00CE7471"/>
    <w:rsid w:val="00CF0BB3"/>
    <w:rsid w:val="00CF266F"/>
    <w:rsid w:val="00CF2FB0"/>
    <w:rsid w:val="00D0248C"/>
    <w:rsid w:val="00D0280E"/>
    <w:rsid w:val="00D06A56"/>
    <w:rsid w:val="00D16F55"/>
    <w:rsid w:val="00D17E73"/>
    <w:rsid w:val="00D20445"/>
    <w:rsid w:val="00D20F5B"/>
    <w:rsid w:val="00D228A7"/>
    <w:rsid w:val="00D30631"/>
    <w:rsid w:val="00D32068"/>
    <w:rsid w:val="00D373D8"/>
    <w:rsid w:val="00D40674"/>
    <w:rsid w:val="00D422C2"/>
    <w:rsid w:val="00D509AC"/>
    <w:rsid w:val="00D51CB0"/>
    <w:rsid w:val="00D53212"/>
    <w:rsid w:val="00D53969"/>
    <w:rsid w:val="00D574F8"/>
    <w:rsid w:val="00D577CD"/>
    <w:rsid w:val="00D57B12"/>
    <w:rsid w:val="00D622E1"/>
    <w:rsid w:val="00D64352"/>
    <w:rsid w:val="00D64E99"/>
    <w:rsid w:val="00D70238"/>
    <w:rsid w:val="00D73143"/>
    <w:rsid w:val="00D7478D"/>
    <w:rsid w:val="00D7525B"/>
    <w:rsid w:val="00D75D40"/>
    <w:rsid w:val="00D75EB9"/>
    <w:rsid w:val="00D7750D"/>
    <w:rsid w:val="00D80CA1"/>
    <w:rsid w:val="00D81A8E"/>
    <w:rsid w:val="00D8653E"/>
    <w:rsid w:val="00D921C0"/>
    <w:rsid w:val="00D968F2"/>
    <w:rsid w:val="00D973C0"/>
    <w:rsid w:val="00D97EAF"/>
    <w:rsid w:val="00DB064A"/>
    <w:rsid w:val="00DB1CA2"/>
    <w:rsid w:val="00DB38B4"/>
    <w:rsid w:val="00DB5DBA"/>
    <w:rsid w:val="00DB63A4"/>
    <w:rsid w:val="00DC2B5C"/>
    <w:rsid w:val="00DD00A8"/>
    <w:rsid w:val="00DD076D"/>
    <w:rsid w:val="00DD2228"/>
    <w:rsid w:val="00DD4542"/>
    <w:rsid w:val="00DD64E5"/>
    <w:rsid w:val="00DE147D"/>
    <w:rsid w:val="00DE1A5E"/>
    <w:rsid w:val="00DE3C8C"/>
    <w:rsid w:val="00DE6753"/>
    <w:rsid w:val="00DE6902"/>
    <w:rsid w:val="00DF0876"/>
    <w:rsid w:val="00DF0A02"/>
    <w:rsid w:val="00DF16BA"/>
    <w:rsid w:val="00E07802"/>
    <w:rsid w:val="00E07CE5"/>
    <w:rsid w:val="00E107D4"/>
    <w:rsid w:val="00E1121D"/>
    <w:rsid w:val="00E11A83"/>
    <w:rsid w:val="00E17EBA"/>
    <w:rsid w:val="00E23F57"/>
    <w:rsid w:val="00E2625B"/>
    <w:rsid w:val="00E26AEF"/>
    <w:rsid w:val="00E30F7F"/>
    <w:rsid w:val="00E328C2"/>
    <w:rsid w:val="00E35FF4"/>
    <w:rsid w:val="00E36543"/>
    <w:rsid w:val="00E40449"/>
    <w:rsid w:val="00E41862"/>
    <w:rsid w:val="00E43970"/>
    <w:rsid w:val="00E4425E"/>
    <w:rsid w:val="00E455C1"/>
    <w:rsid w:val="00E463EE"/>
    <w:rsid w:val="00E4702E"/>
    <w:rsid w:val="00E505FD"/>
    <w:rsid w:val="00E50761"/>
    <w:rsid w:val="00E51A59"/>
    <w:rsid w:val="00E51DAF"/>
    <w:rsid w:val="00E54C67"/>
    <w:rsid w:val="00E55A3A"/>
    <w:rsid w:val="00E57B1A"/>
    <w:rsid w:val="00E6211E"/>
    <w:rsid w:val="00E657C1"/>
    <w:rsid w:val="00E658C4"/>
    <w:rsid w:val="00E73EAD"/>
    <w:rsid w:val="00E775BC"/>
    <w:rsid w:val="00E85991"/>
    <w:rsid w:val="00E91487"/>
    <w:rsid w:val="00E91DC2"/>
    <w:rsid w:val="00EA3BBE"/>
    <w:rsid w:val="00EA579E"/>
    <w:rsid w:val="00EA6A97"/>
    <w:rsid w:val="00EB01D7"/>
    <w:rsid w:val="00EB07C2"/>
    <w:rsid w:val="00EB418A"/>
    <w:rsid w:val="00EB4C11"/>
    <w:rsid w:val="00EB63B9"/>
    <w:rsid w:val="00EB7812"/>
    <w:rsid w:val="00EC4996"/>
    <w:rsid w:val="00EC49A3"/>
    <w:rsid w:val="00EC647D"/>
    <w:rsid w:val="00EC66D2"/>
    <w:rsid w:val="00EC732F"/>
    <w:rsid w:val="00ED182E"/>
    <w:rsid w:val="00ED1B96"/>
    <w:rsid w:val="00ED33D6"/>
    <w:rsid w:val="00ED3B79"/>
    <w:rsid w:val="00ED4E7F"/>
    <w:rsid w:val="00ED7484"/>
    <w:rsid w:val="00EE1796"/>
    <w:rsid w:val="00EE40C7"/>
    <w:rsid w:val="00EE55E0"/>
    <w:rsid w:val="00EE6089"/>
    <w:rsid w:val="00EF0363"/>
    <w:rsid w:val="00EF071D"/>
    <w:rsid w:val="00EF65AE"/>
    <w:rsid w:val="00F0007A"/>
    <w:rsid w:val="00F020CA"/>
    <w:rsid w:val="00F03900"/>
    <w:rsid w:val="00F03B73"/>
    <w:rsid w:val="00F0688F"/>
    <w:rsid w:val="00F07997"/>
    <w:rsid w:val="00F07BAE"/>
    <w:rsid w:val="00F11F18"/>
    <w:rsid w:val="00F14BC1"/>
    <w:rsid w:val="00F20D89"/>
    <w:rsid w:val="00F2302B"/>
    <w:rsid w:val="00F238BE"/>
    <w:rsid w:val="00F23971"/>
    <w:rsid w:val="00F2435F"/>
    <w:rsid w:val="00F24543"/>
    <w:rsid w:val="00F271C5"/>
    <w:rsid w:val="00F32570"/>
    <w:rsid w:val="00F33FFD"/>
    <w:rsid w:val="00F348A6"/>
    <w:rsid w:val="00F36564"/>
    <w:rsid w:val="00F373DD"/>
    <w:rsid w:val="00F3757C"/>
    <w:rsid w:val="00F37BD0"/>
    <w:rsid w:val="00F41934"/>
    <w:rsid w:val="00F43BE5"/>
    <w:rsid w:val="00F43BFC"/>
    <w:rsid w:val="00F46F4D"/>
    <w:rsid w:val="00F510E4"/>
    <w:rsid w:val="00F52F09"/>
    <w:rsid w:val="00F607D6"/>
    <w:rsid w:val="00F65177"/>
    <w:rsid w:val="00F65F2F"/>
    <w:rsid w:val="00F67AA4"/>
    <w:rsid w:val="00F67DE7"/>
    <w:rsid w:val="00F73373"/>
    <w:rsid w:val="00F74932"/>
    <w:rsid w:val="00F7620A"/>
    <w:rsid w:val="00F76486"/>
    <w:rsid w:val="00F76A85"/>
    <w:rsid w:val="00F81790"/>
    <w:rsid w:val="00F82EBB"/>
    <w:rsid w:val="00F87DE8"/>
    <w:rsid w:val="00F9171D"/>
    <w:rsid w:val="00F92561"/>
    <w:rsid w:val="00F930CC"/>
    <w:rsid w:val="00F935F4"/>
    <w:rsid w:val="00F93CE7"/>
    <w:rsid w:val="00F946DD"/>
    <w:rsid w:val="00F9520F"/>
    <w:rsid w:val="00F962FF"/>
    <w:rsid w:val="00F964CC"/>
    <w:rsid w:val="00FA1C3F"/>
    <w:rsid w:val="00FA493B"/>
    <w:rsid w:val="00FA5129"/>
    <w:rsid w:val="00FA55E1"/>
    <w:rsid w:val="00FA6FAD"/>
    <w:rsid w:val="00FB4FD7"/>
    <w:rsid w:val="00FB59F3"/>
    <w:rsid w:val="00FB6964"/>
    <w:rsid w:val="00FB698B"/>
    <w:rsid w:val="00FC0AB3"/>
    <w:rsid w:val="00FC2812"/>
    <w:rsid w:val="00FC3179"/>
    <w:rsid w:val="00FC6C57"/>
    <w:rsid w:val="00FC70DE"/>
    <w:rsid w:val="00FD0D58"/>
    <w:rsid w:val="00FD38DF"/>
    <w:rsid w:val="00FD3DFA"/>
    <w:rsid w:val="00FD56FF"/>
    <w:rsid w:val="00FD57E4"/>
    <w:rsid w:val="00FD7449"/>
    <w:rsid w:val="00FE032C"/>
    <w:rsid w:val="00FF1A7A"/>
    <w:rsid w:val="00FF2BA2"/>
    <w:rsid w:val="00FF41E1"/>
    <w:rsid w:val="00FF6B3D"/>
    <w:rsid w:val="13B39B32"/>
    <w:rsid w:val="249DD1CB"/>
    <w:rsid w:val="4A5D7D89"/>
    <w:rsid w:val="4C9AA112"/>
    <w:rsid w:val="529E84E7"/>
    <w:rsid w:val="5D565805"/>
    <w:rsid w:val="6D7F96DA"/>
    <w:rsid w:val="6FD8323F"/>
    <w:rsid w:val="72632863"/>
    <w:rsid w:val="731A3457"/>
    <w:rsid w:val="77A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BE20A"/>
  <w15:chartTrackingRefBased/>
  <w15:docId w15:val="{47D3E139-35A9-403F-BC04-C5E1BEF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F4"/>
    <w:rPr>
      <w:sz w:val="24"/>
      <w:szCs w:val="24"/>
    </w:rPr>
  </w:style>
  <w:style w:type="paragraph" w:styleId="Ttulo1">
    <w:name w:val="heading 1"/>
    <w:basedOn w:val="Normal"/>
    <w:next w:val="Normal"/>
    <w:qFormat/>
    <w:rsid w:val="00F245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next w:val="BNDES"/>
    <w:qFormat/>
    <w:rsid w:val="00371AEE"/>
    <w:pPr>
      <w:spacing w:before="720" w:after="120" w:line="480" w:lineRule="auto"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basedOn w:val="Normal"/>
    <w:link w:val="BNDESChar"/>
    <w:qFormat/>
    <w:rsid w:val="0043400B"/>
    <w:pPr>
      <w:jc w:val="both"/>
    </w:pPr>
  </w:style>
  <w:style w:type="paragraph" w:styleId="Corpodetexto">
    <w:name w:val="Body Text"/>
    <w:basedOn w:val="Normal"/>
    <w:link w:val="CorpodetextoChar"/>
    <w:rsid w:val="009807D1"/>
    <w:pPr>
      <w:spacing w:before="80" w:after="80" w:line="264" w:lineRule="auto"/>
      <w:jc w:val="both"/>
    </w:pPr>
    <w:rPr>
      <w:rFonts w:ascii="Arial" w:hAnsi="Arial"/>
    </w:rPr>
  </w:style>
  <w:style w:type="paragraph" w:customStyle="1" w:styleId="CharCharCharCharCharCharCharCharCharCharChar">
    <w:name w:val="Char Char Char Char Char Char Char Char Char Char Char"/>
    <w:basedOn w:val="Normal"/>
    <w:rsid w:val="000820F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x">
    <w:name w:val="a.x)"/>
    <w:rsid w:val="000820FF"/>
    <w:pPr>
      <w:spacing w:before="240" w:after="120"/>
      <w:ind w:left="1276" w:hanging="709"/>
      <w:jc w:val="both"/>
    </w:pPr>
    <w:rPr>
      <w:rFonts w:ascii="Arial" w:hAnsi="Arial"/>
      <w:sz w:val="24"/>
    </w:rPr>
  </w:style>
  <w:style w:type="paragraph" w:customStyle="1" w:styleId="a">
    <w:name w:val="a)"/>
    <w:next w:val="Normal"/>
    <w:rsid w:val="000820FF"/>
    <w:pPr>
      <w:spacing w:before="360" w:after="120"/>
      <w:ind w:left="567" w:hanging="567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A64B40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AA3A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A3A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AA3AA4"/>
    <w:rPr>
      <w:b/>
      <w:bCs/>
    </w:rPr>
  </w:style>
  <w:style w:type="paragraph" w:customStyle="1" w:styleId="CharCharCharCharChar1CharCharCharCharCharChar">
    <w:name w:val="Char Char Char Char Char1 Char Char Char Char Char Char"/>
    <w:basedOn w:val="Normal"/>
    <w:rsid w:val="00F373DD"/>
    <w:pPr>
      <w:tabs>
        <w:tab w:val="num" w:pos="0"/>
      </w:tabs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073864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character" w:customStyle="1" w:styleId="BNDESChar">
    <w:name w:val="BNDES Char"/>
    <w:link w:val="BNDES"/>
    <w:qFormat/>
    <w:rsid w:val="00D64E99"/>
    <w:rPr>
      <w:rFonts w:ascii="Optimum" w:hAnsi="Optimum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027BF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27BF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4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C0C13"/>
  </w:style>
  <w:style w:type="paragraph" w:customStyle="1" w:styleId="CharChar1CharCharChar">
    <w:name w:val="Char Char1 Char Char Char"/>
    <w:basedOn w:val="Normal"/>
    <w:rsid w:val="003C06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rpodoTexto">
    <w:name w:val="Corpo do Texto"/>
    <w:basedOn w:val="Normal"/>
    <w:rsid w:val="00277F1B"/>
    <w:pPr>
      <w:jc w:val="both"/>
    </w:pPr>
    <w:rPr>
      <w:rFonts w:ascii="Bookman Old Style" w:hAnsi="Bookman Old Style"/>
      <w:sz w:val="22"/>
    </w:rPr>
  </w:style>
  <w:style w:type="paragraph" w:customStyle="1" w:styleId="formulas">
    <w:name w:val="formulas"/>
    <w:basedOn w:val="CorpodoTexto"/>
    <w:rsid w:val="00277F1B"/>
    <w:pPr>
      <w:tabs>
        <w:tab w:val="num" w:pos="360"/>
      </w:tabs>
      <w:spacing w:before="120" w:line="288" w:lineRule="auto"/>
      <w:jc w:val="left"/>
    </w:pPr>
    <w:rPr>
      <w:rFonts w:ascii="Arial" w:hAnsi="Arial"/>
      <w:sz w:val="24"/>
    </w:rPr>
  </w:style>
  <w:style w:type="paragraph" w:customStyle="1" w:styleId="NormalOptimum">
    <w:name w:val="Normal Optimum"/>
    <w:rsid w:val="00277F1B"/>
    <w:pPr>
      <w:widowControl w:val="0"/>
      <w:adjustRightInd w:val="0"/>
      <w:spacing w:after="120"/>
      <w:contextualSpacing/>
      <w:jc w:val="both"/>
      <w:textAlignment w:val="baseline"/>
    </w:pPr>
    <w:rPr>
      <w:rFonts w:ascii="Optimum" w:hAnsi="Optimum" w:cs="Arial"/>
      <w:sz w:val="24"/>
      <w:szCs w:val="24"/>
    </w:rPr>
  </w:style>
  <w:style w:type="paragraph" w:styleId="PargrafodaLista">
    <w:name w:val="List Paragraph"/>
    <w:aliases w:val="BNDES_PARAGRAFO"/>
    <w:basedOn w:val="Normal"/>
    <w:link w:val="PargrafodaListaChar"/>
    <w:uiPriority w:val="34"/>
    <w:qFormat/>
    <w:rsid w:val="00515068"/>
    <w:pPr>
      <w:ind w:left="708"/>
    </w:pPr>
  </w:style>
  <w:style w:type="paragraph" w:customStyle="1" w:styleId="Corpodetexto31">
    <w:name w:val="Corpo de texto 31"/>
    <w:basedOn w:val="Normal"/>
    <w:rsid w:val="00FE032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color w:val="FF0000"/>
      <w:sz w:val="20"/>
      <w:szCs w:val="20"/>
    </w:rPr>
  </w:style>
  <w:style w:type="character" w:styleId="Hyperlink">
    <w:name w:val="Hyperlink"/>
    <w:uiPriority w:val="99"/>
    <w:unhideWhenUsed/>
    <w:rsid w:val="005723E4"/>
    <w:rPr>
      <w:color w:val="0000FF"/>
      <w:u w:val="single"/>
    </w:rPr>
  </w:style>
  <w:style w:type="character" w:customStyle="1" w:styleId="CorpodetextoChar">
    <w:name w:val="Corpo de texto Char"/>
    <w:link w:val="Corpodetexto"/>
    <w:rsid w:val="007068E8"/>
    <w:rPr>
      <w:rFonts w:ascii="Arial" w:hAnsi="Arial"/>
      <w:sz w:val="24"/>
      <w:szCs w:val="24"/>
    </w:rPr>
  </w:style>
  <w:style w:type="paragraph" w:customStyle="1" w:styleId="Default">
    <w:name w:val="Default"/>
    <w:rsid w:val="00546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1478DA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FF0000"/>
      <w:sz w:val="20"/>
      <w:szCs w:val="20"/>
    </w:rPr>
  </w:style>
  <w:style w:type="character" w:customStyle="1" w:styleId="RodapChar">
    <w:name w:val="Rodapé Char"/>
    <w:link w:val="Rodap"/>
    <w:uiPriority w:val="99"/>
    <w:rsid w:val="008E59B9"/>
    <w:rPr>
      <w:sz w:val="24"/>
      <w:szCs w:val="24"/>
    </w:rPr>
  </w:style>
  <w:style w:type="character" w:customStyle="1" w:styleId="PargrafodaListaChar">
    <w:name w:val="Parágrafo da Lista Char"/>
    <w:aliases w:val="BNDES_PARAGRAFO Char"/>
    <w:link w:val="PargrafodaLista"/>
    <w:uiPriority w:val="34"/>
    <w:rsid w:val="00605B03"/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22697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17958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rsid w:val="00EE1796"/>
  </w:style>
  <w:style w:type="character" w:styleId="Meno">
    <w:name w:val="Mention"/>
    <w:uiPriority w:val="99"/>
    <w:unhideWhenUsed/>
    <w:rsid w:val="00D320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87358">
      <w:bodyDiv w:val="1"/>
      <w:marLeft w:val="0"/>
      <w:marRight w:val="0"/>
      <w:marTop w:val="0"/>
      <w:marBottom w:val="0"/>
      <w:divBdr>
        <w:top w:val="none" w:sz="0" w:space="2" w:color="auto"/>
        <w:left w:val="none" w:sz="0" w:space="2" w:color="auto"/>
        <w:bottom w:val="none" w:sz="0" w:space="2" w:color="auto"/>
        <w:right w:val="none" w:sz="0" w:space="2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9623D294766F42A3447CF9BC6CA646" ma:contentTypeVersion="3" ma:contentTypeDescription="Crie um novo documento." ma:contentTypeScope="" ma:versionID="ec9365f8c4fcab4b143556d75ed17f81">
  <xsd:schema xmlns:xsd="http://www.w3.org/2001/XMLSchema" xmlns:xs="http://www.w3.org/2001/XMLSchema" xmlns:p="http://schemas.microsoft.com/office/2006/metadata/properties" xmlns:ns2="6cbe5aa4-e640-43a6-902f-14eb038cca89" targetNamespace="http://schemas.microsoft.com/office/2006/metadata/properties" ma:root="true" ma:fieldsID="ff825dc08037ca518f2589ee50ffc40a" ns2:_="">
    <xsd:import namespace="6cbe5aa4-e640-43a6-902f-14eb038cc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e5aa4-e640-43a6-902f-14eb038cc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E8ABA-50F0-48D2-B932-4F5EA095B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7DFCE-7458-4D8A-8DA0-513EF2E61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3D7DE9-086B-466D-93F1-BFB0020EC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498117-ED45-4F6F-B5CF-C1A5DFBE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e5aa4-e640-43a6-902f-14eb038c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218cf9-7188-4e4f-9787-a8019ac003f1}" enabled="1" method="Privilege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2475</Words>
  <Characters>13807</Characters>
  <Application>Microsoft Office Word</Application>
  <DocSecurity>8</DocSecurity>
  <Lines>293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 NACIONAL DE DESENVOLVIMENTO ECONÔMICO E SOCIAL – BNDES</vt:lpstr>
    </vt:vector>
  </TitlesOfParts>
  <Company>BNDES</Company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NACIONAL DE DESENVOLVIMENTO ECONÔMICO E SOCIAL – BNDES</dc:title>
  <dc:subject/>
  <dc:creator>Mariana Guimaraes Lima</dc:creator>
  <cp:keywords/>
  <cp:lastModifiedBy>Rafael Magalhaes da Rocha</cp:lastModifiedBy>
  <cp:revision>13</cp:revision>
  <cp:lastPrinted>2017-08-18T19:20:00Z</cp:lastPrinted>
  <dcterms:created xsi:type="dcterms:W3CDTF">2025-07-09T17:52:00Z</dcterms:created>
  <dcterms:modified xsi:type="dcterms:W3CDTF">2026-02-02T20:06:00Z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0x010100BB9623D294766F42A3447CF9BC6CA646</vt:lpwstr>
  </property>
</Properties>
</file>