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DFD1" w14:textId="77777777" w:rsidR="00EA393B" w:rsidRPr="00781942" w:rsidRDefault="00EA393B" w:rsidP="00EA393B">
      <w:pPr>
        <w:pStyle w:val="BNDES"/>
        <w:tabs>
          <w:tab w:val="left" w:pos="567"/>
          <w:tab w:val="left" w:pos="709"/>
        </w:tabs>
        <w:rPr>
          <w:rFonts w:cs="Arial"/>
          <w:szCs w:val="24"/>
        </w:rPr>
      </w:pPr>
    </w:p>
    <w:p w14:paraId="2F4C1C42" w14:textId="77777777" w:rsidR="00AF4753" w:rsidRPr="00161897" w:rsidRDefault="00AF4753" w:rsidP="00AF4753">
      <w:pPr>
        <w:pStyle w:val="BNDES"/>
        <w:ind w:left="284" w:hanging="284"/>
        <w:outlineLvl w:val="0"/>
        <w:rPr>
          <w:rFonts w:cs="Arial"/>
        </w:rPr>
      </w:pPr>
      <w:r w:rsidRPr="00161897">
        <w:rPr>
          <w:rFonts w:cs="Arial"/>
        </w:rPr>
        <w:t>CIRCULAR SUP/</w:t>
      </w:r>
      <w:r w:rsidR="006B29E3" w:rsidRPr="00161897">
        <w:rPr>
          <w:rFonts w:cs="Arial"/>
        </w:rPr>
        <w:t>ADIG</w:t>
      </w:r>
      <w:r w:rsidR="005C6930" w:rsidRPr="00161897">
        <w:rPr>
          <w:rFonts w:cs="Arial"/>
        </w:rPr>
        <w:t xml:space="preserve"> </w:t>
      </w:r>
      <w:r w:rsidRPr="00161897">
        <w:rPr>
          <w:rFonts w:cs="Arial"/>
        </w:rPr>
        <w:t xml:space="preserve">Nº </w:t>
      </w:r>
      <w:r w:rsidR="00297A2F">
        <w:rPr>
          <w:rFonts w:cs="Arial"/>
        </w:rPr>
        <w:t>49</w:t>
      </w:r>
      <w:r w:rsidR="00DA4CF1" w:rsidRPr="00161897">
        <w:rPr>
          <w:rFonts w:cs="Arial"/>
        </w:rPr>
        <w:t>/</w:t>
      </w:r>
      <w:r w:rsidRPr="00161897">
        <w:rPr>
          <w:rFonts w:cs="Arial"/>
        </w:rPr>
        <w:t>20</w:t>
      </w:r>
      <w:r w:rsidR="00F16D80">
        <w:rPr>
          <w:rFonts w:cs="Arial"/>
        </w:rPr>
        <w:t>21</w:t>
      </w:r>
      <w:r w:rsidRPr="00161897">
        <w:rPr>
          <w:rFonts w:cs="Arial"/>
        </w:rPr>
        <w:t>-BNDES</w:t>
      </w:r>
    </w:p>
    <w:p w14:paraId="15E4E6D2" w14:textId="77777777" w:rsidR="00AF4753" w:rsidRPr="00161897" w:rsidRDefault="00AF4753" w:rsidP="00AF4753">
      <w:pPr>
        <w:pStyle w:val="BNDES"/>
        <w:ind w:left="284" w:hanging="284"/>
        <w:rPr>
          <w:rFonts w:cs="Arial"/>
        </w:rPr>
      </w:pPr>
    </w:p>
    <w:p w14:paraId="0977CDC6" w14:textId="77777777" w:rsidR="00AF4753" w:rsidRPr="00161897" w:rsidRDefault="00AF4753" w:rsidP="00AF4753">
      <w:pPr>
        <w:pStyle w:val="BNDES"/>
        <w:ind w:left="284" w:hanging="284"/>
        <w:rPr>
          <w:rFonts w:cs="Arial"/>
        </w:rPr>
      </w:pPr>
    </w:p>
    <w:p w14:paraId="541DE358" w14:textId="77777777" w:rsidR="00AF4753" w:rsidRPr="00161897" w:rsidRDefault="00AF4753" w:rsidP="00AF4753">
      <w:pPr>
        <w:pStyle w:val="BNDES"/>
        <w:ind w:left="284" w:hanging="284"/>
        <w:rPr>
          <w:rFonts w:cs="Arial"/>
        </w:rPr>
      </w:pPr>
      <w:r w:rsidRPr="00161897">
        <w:rPr>
          <w:rFonts w:cs="Arial"/>
        </w:rPr>
        <w:t xml:space="preserve">Rio de Janeiro, </w:t>
      </w:r>
      <w:r w:rsidR="00A60DE8">
        <w:rPr>
          <w:rFonts w:cs="Arial"/>
        </w:rPr>
        <w:t>18</w:t>
      </w:r>
      <w:r w:rsidR="00090019" w:rsidRPr="00161897">
        <w:rPr>
          <w:rFonts w:cs="Arial"/>
        </w:rPr>
        <w:t xml:space="preserve"> </w:t>
      </w:r>
      <w:r w:rsidRPr="00161897">
        <w:rPr>
          <w:rFonts w:cs="Arial"/>
        </w:rPr>
        <w:t xml:space="preserve">de </w:t>
      </w:r>
      <w:r w:rsidR="00297A2F">
        <w:rPr>
          <w:rFonts w:cs="Arial"/>
        </w:rPr>
        <w:t>novembro</w:t>
      </w:r>
      <w:r w:rsidR="005C6930" w:rsidRPr="00161897">
        <w:rPr>
          <w:rFonts w:cs="Arial"/>
        </w:rPr>
        <w:t xml:space="preserve"> </w:t>
      </w:r>
      <w:r w:rsidRPr="00161897">
        <w:rPr>
          <w:rFonts w:cs="Arial"/>
        </w:rPr>
        <w:t xml:space="preserve">de </w:t>
      </w:r>
      <w:r w:rsidR="005C6930" w:rsidRPr="00161897">
        <w:rPr>
          <w:rFonts w:cs="Arial"/>
        </w:rPr>
        <w:t>20</w:t>
      </w:r>
      <w:r w:rsidR="00F16D80">
        <w:rPr>
          <w:rFonts w:cs="Arial"/>
        </w:rPr>
        <w:t>21</w:t>
      </w:r>
      <w:r w:rsidR="00114067" w:rsidRPr="00161897">
        <w:rPr>
          <w:rFonts w:cs="Arial"/>
        </w:rPr>
        <w:t>.</w:t>
      </w:r>
    </w:p>
    <w:p w14:paraId="19A78C93" w14:textId="77777777" w:rsidR="00AF4753" w:rsidRPr="00161897" w:rsidRDefault="00AF4753" w:rsidP="00AF4753">
      <w:pPr>
        <w:pStyle w:val="BNDES"/>
        <w:ind w:left="284" w:hanging="284"/>
        <w:rPr>
          <w:rFonts w:cs="Arial"/>
        </w:rPr>
      </w:pPr>
    </w:p>
    <w:p w14:paraId="4BC8A291" w14:textId="77777777" w:rsidR="005F3688" w:rsidRPr="00161897" w:rsidRDefault="005F3688" w:rsidP="00AF4753">
      <w:pPr>
        <w:pStyle w:val="BNDES"/>
        <w:ind w:left="284" w:hanging="284"/>
        <w:rPr>
          <w:rFonts w:cs="Arial"/>
        </w:rPr>
      </w:pPr>
    </w:p>
    <w:p w14:paraId="6B11733C" w14:textId="77777777" w:rsidR="00A543E6" w:rsidRDefault="00AF4753" w:rsidP="00DA4CF1">
      <w:pPr>
        <w:pStyle w:val="BNDES"/>
        <w:rPr>
          <w:rFonts w:cs="Arial"/>
        </w:rPr>
      </w:pPr>
      <w:r w:rsidRPr="00161897">
        <w:rPr>
          <w:rFonts w:cs="Arial"/>
        </w:rPr>
        <w:t>Ref.:</w:t>
      </w:r>
      <w:r w:rsidRPr="00161897">
        <w:rPr>
          <w:rFonts w:cs="Arial"/>
        </w:rPr>
        <w:tab/>
      </w:r>
      <w:r w:rsidR="00D0177D">
        <w:rPr>
          <w:rFonts w:cs="Arial"/>
        </w:rPr>
        <w:t>RESOLUÇÃO</w:t>
      </w:r>
      <w:r w:rsidR="00F16D80">
        <w:rPr>
          <w:rFonts w:cs="Arial"/>
        </w:rPr>
        <w:t xml:space="preserve"> CMN </w:t>
      </w:r>
      <w:r w:rsidR="00F16D80" w:rsidRPr="00EE1D18">
        <w:rPr>
          <w:rFonts w:cs="Arial"/>
        </w:rPr>
        <w:t>Nº</w:t>
      </w:r>
      <w:r w:rsidR="00F16D80">
        <w:rPr>
          <w:rFonts w:cs="Arial"/>
        </w:rPr>
        <w:t xml:space="preserve"> 4.889, de 26.02.2021</w:t>
      </w:r>
      <w:r w:rsidR="00F16D80" w:rsidRPr="00EE1D18">
        <w:rPr>
          <w:rFonts w:cs="Arial"/>
        </w:rPr>
        <w:t>.</w:t>
      </w:r>
    </w:p>
    <w:p w14:paraId="177EA77B" w14:textId="77777777" w:rsidR="00D0177D" w:rsidRPr="00161897" w:rsidRDefault="00D0177D" w:rsidP="00D0177D">
      <w:pPr>
        <w:pStyle w:val="BNDES"/>
        <w:ind w:firstLine="708"/>
        <w:rPr>
          <w:rFonts w:cs="Arial"/>
        </w:rPr>
      </w:pPr>
      <w:r>
        <w:rPr>
          <w:rFonts w:cs="Arial"/>
        </w:rPr>
        <w:t xml:space="preserve">RESOLUÇÃO CMN </w:t>
      </w:r>
      <w:r w:rsidRPr="00EE1D18">
        <w:rPr>
          <w:rFonts w:cs="Arial"/>
        </w:rPr>
        <w:t>Nº</w:t>
      </w:r>
      <w:r>
        <w:rPr>
          <w:rFonts w:cs="Arial"/>
        </w:rPr>
        <w:t xml:space="preserve"> 4.905, de 29.04.2021.</w:t>
      </w:r>
    </w:p>
    <w:p w14:paraId="70EBD5B3" w14:textId="77777777" w:rsidR="00BB5360" w:rsidRPr="00161897" w:rsidRDefault="00BB5360" w:rsidP="00BB5360">
      <w:pPr>
        <w:pStyle w:val="BNDES"/>
        <w:tabs>
          <w:tab w:val="left" w:pos="709"/>
        </w:tabs>
        <w:ind w:left="709"/>
        <w:rPr>
          <w:rFonts w:cs="Arial"/>
        </w:rPr>
      </w:pPr>
      <w:r w:rsidRPr="00161897">
        <w:rPr>
          <w:rFonts w:cs="Arial"/>
        </w:rPr>
        <w:t>CIRCULAR SUP/</w:t>
      </w:r>
      <w:r w:rsidR="00F16D80">
        <w:rPr>
          <w:rFonts w:cs="Arial"/>
        </w:rPr>
        <w:t>ADIG</w:t>
      </w:r>
      <w:r w:rsidRPr="00161897">
        <w:rPr>
          <w:rFonts w:cs="Arial"/>
        </w:rPr>
        <w:t xml:space="preserve"> Nº </w:t>
      </w:r>
      <w:r w:rsidR="00F16D80">
        <w:rPr>
          <w:rFonts w:cs="Arial"/>
        </w:rPr>
        <w:t>07</w:t>
      </w:r>
      <w:r w:rsidRPr="00161897">
        <w:rPr>
          <w:rFonts w:cs="Arial"/>
        </w:rPr>
        <w:t>/</w:t>
      </w:r>
      <w:r w:rsidR="00F16D80">
        <w:rPr>
          <w:rFonts w:cs="Arial"/>
        </w:rPr>
        <w:t>2018</w:t>
      </w:r>
      <w:r w:rsidRPr="00161897">
        <w:rPr>
          <w:rFonts w:cs="Arial"/>
        </w:rPr>
        <w:t xml:space="preserve">-BNDES, de </w:t>
      </w:r>
      <w:r w:rsidR="00F16D80">
        <w:rPr>
          <w:rFonts w:cs="Arial"/>
        </w:rPr>
        <w:t>30.10.2018</w:t>
      </w:r>
      <w:r w:rsidR="00114067" w:rsidRPr="00161897">
        <w:rPr>
          <w:rFonts w:cs="Arial"/>
        </w:rPr>
        <w:t>.</w:t>
      </w:r>
    </w:p>
    <w:p w14:paraId="227220D3" w14:textId="77777777" w:rsidR="00541A1C" w:rsidRPr="00161897" w:rsidRDefault="00541A1C" w:rsidP="00BB5360">
      <w:pPr>
        <w:pStyle w:val="BNDES"/>
        <w:tabs>
          <w:tab w:val="left" w:pos="709"/>
        </w:tabs>
        <w:ind w:left="709"/>
        <w:rPr>
          <w:rFonts w:cs="Arial"/>
        </w:rPr>
      </w:pPr>
    </w:p>
    <w:p w14:paraId="0F620E9B" w14:textId="77777777" w:rsidR="00AF4753" w:rsidRPr="00161897" w:rsidRDefault="00AF4753" w:rsidP="00DA71C5">
      <w:pPr>
        <w:pStyle w:val="BNDES"/>
        <w:tabs>
          <w:tab w:val="left" w:pos="709"/>
        </w:tabs>
        <w:rPr>
          <w:rFonts w:cs="Arial"/>
        </w:rPr>
      </w:pPr>
    </w:p>
    <w:p w14:paraId="3FD6FC84" w14:textId="77777777" w:rsidR="00AF4753" w:rsidRPr="00161897" w:rsidRDefault="00AF4753" w:rsidP="00AF4753">
      <w:pPr>
        <w:pStyle w:val="BNDES"/>
        <w:tabs>
          <w:tab w:val="left" w:pos="709"/>
        </w:tabs>
        <w:ind w:left="709" w:hanging="709"/>
        <w:rPr>
          <w:rFonts w:cs="Arial"/>
        </w:rPr>
      </w:pPr>
      <w:r w:rsidRPr="00161897">
        <w:rPr>
          <w:rFonts w:cs="Arial"/>
        </w:rPr>
        <w:t>Ass.:</w:t>
      </w:r>
      <w:r w:rsidRPr="00161897">
        <w:rPr>
          <w:rFonts w:cs="Arial"/>
        </w:rPr>
        <w:tab/>
      </w:r>
      <w:r w:rsidR="004A4C4A" w:rsidRPr="00161897">
        <w:rPr>
          <w:rFonts w:cs="Arial"/>
        </w:rPr>
        <w:t xml:space="preserve">Renegociação </w:t>
      </w:r>
      <w:r w:rsidRPr="00161897">
        <w:rPr>
          <w:rFonts w:cs="Arial"/>
        </w:rPr>
        <w:t>de operações de crédito de investimento rural contratadas no âmbito do Programa Nacional de Fortalecimento da Agricultura Familiar – PRONAF</w:t>
      </w:r>
      <w:r w:rsidR="00AC1538" w:rsidRPr="00161897">
        <w:rPr>
          <w:rFonts w:cs="Arial"/>
        </w:rPr>
        <w:t>.</w:t>
      </w:r>
    </w:p>
    <w:p w14:paraId="35A2343D" w14:textId="77777777" w:rsidR="00AF4753" w:rsidRPr="00161897" w:rsidRDefault="00AF4753" w:rsidP="00AF4753">
      <w:pPr>
        <w:pStyle w:val="BNDES"/>
        <w:ind w:left="284" w:hanging="284"/>
        <w:rPr>
          <w:rFonts w:cs="Arial"/>
        </w:rPr>
      </w:pPr>
    </w:p>
    <w:p w14:paraId="2ABACB4C" w14:textId="77777777" w:rsidR="00190BBC" w:rsidRPr="00161897" w:rsidRDefault="00190BBC" w:rsidP="00190BBC">
      <w:pPr>
        <w:pStyle w:val="BNDES"/>
        <w:rPr>
          <w:rFonts w:cs="Arial"/>
        </w:rPr>
      </w:pPr>
      <w:r w:rsidRPr="00161897">
        <w:rPr>
          <w:rFonts w:cs="Arial"/>
        </w:rPr>
        <w:t xml:space="preserve">O Superintendente da Área de Operações e Canais Digitais, no uso de suas atribuições, </w:t>
      </w:r>
      <w:r w:rsidR="00F16D80">
        <w:rPr>
          <w:rFonts w:cs="Arial"/>
        </w:rPr>
        <w:t>e em função da atualização do Manual de Crédito Rural (MCR) decorrente da</w:t>
      </w:r>
      <w:r w:rsidR="00D0177D">
        <w:rPr>
          <w:rFonts w:cs="Arial"/>
        </w:rPr>
        <w:t>s Resoluções</w:t>
      </w:r>
      <w:r w:rsidR="00F16D80">
        <w:rPr>
          <w:rFonts w:cs="Arial"/>
        </w:rPr>
        <w:t xml:space="preserve"> do Conselho Monetário Nacional – CMN n</w:t>
      </w:r>
      <w:r w:rsidR="00F16D80" w:rsidRPr="00C06EBA">
        <w:rPr>
          <w:rFonts w:cs="Arial"/>
        </w:rPr>
        <w:t>º</w:t>
      </w:r>
      <w:r w:rsidR="00F16D80">
        <w:rPr>
          <w:rFonts w:cs="Arial"/>
        </w:rPr>
        <w:t xml:space="preserve"> 4.889, de 26.02.2021</w:t>
      </w:r>
      <w:r w:rsidR="00D0177D">
        <w:rPr>
          <w:rFonts w:cs="Arial"/>
        </w:rPr>
        <w:t>, e n</w:t>
      </w:r>
      <w:r w:rsidR="00D0177D" w:rsidRPr="00C06EBA">
        <w:rPr>
          <w:rFonts w:cs="Arial"/>
        </w:rPr>
        <w:t>º</w:t>
      </w:r>
      <w:r w:rsidR="00D0177D">
        <w:rPr>
          <w:rFonts w:cs="Arial"/>
        </w:rPr>
        <w:t xml:space="preserve"> 4.905, de 29.04.2021</w:t>
      </w:r>
      <w:r w:rsidR="00F16D80">
        <w:rPr>
          <w:rFonts w:cs="Arial"/>
        </w:rPr>
        <w:t xml:space="preserve">, </w:t>
      </w:r>
      <w:r w:rsidRPr="00161897">
        <w:rPr>
          <w:rFonts w:cs="Arial"/>
        </w:rPr>
        <w:t xml:space="preserve">COMUNICA </w:t>
      </w:r>
      <w:r w:rsidRPr="00161897">
        <w:t>às INSTITUIÇÕES FINANCEIRAS CREDENCIADAS</w:t>
      </w:r>
      <w:r w:rsidRPr="00161897" w:rsidDel="00014BD1">
        <w:rPr>
          <w:rFonts w:cs="Arial"/>
        </w:rPr>
        <w:t xml:space="preserve"> </w:t>
      </w:r>
      <w:r w:rsidRPr="00161897">
        <w:rPr>
          <w:rFonts w:cs="Arial"/>
        </w:rPr>
        <w:t xml:space="preserve">a alteração </w:t>
      </w:r>
      <w:r w:rsidR="00E73235">
        <w:rPr>
          <w:rFonts w:cs="Arial"/>
        </w:rPr>
        <w:t xml:space="preserve">e </w:t>
      </w:r>
      <w:r w:rsidR="00F16D80">
        <w:rPr>
          <w:rFonts w:cs="Arial"/>
        </w:rPr>
        <w:t>consolidação</w:t>
      </w:r>
      <w:r w:rsidR="00F16D80" w:rsidRPr="00161897">
        <w:rPr>
          <w:rFonts w:cs="Arial"/>
        </w:rPr>
        <w:t xml:space="preserve"> </w:t>
      </w:r>
      <w:r w:rsidR="00F16D80">
        <w:rPr>
          <w:rFonts w:cs="Arial"/>
        </w:rPr>
        <w:t>d</w:t>
      </w:r>
      <w:r w:rsidRPr="00161897">
        <w:rPr>
          <w:rFonts w:cs="Arial"/>
        </w:rPr>
        <w:t xml:space="preserve">as condições </w:t>
      </w:r>
      <w:r w:rsidR="00957232">
        <w:rPr>
          <w:rFonts w:cs="Arial"/>
        </w:rPr>
        <w:t>e procedimentos operacionais para</w:t>
      </w:r>
      <w:r w:rsidRPr="00161897">
        <w:rPr>
          <w:rFonts w:cs="Arial"/>
        </w:rPr>
        <w:t xml:space="preserve"> renegociação </w:t>
      </w:r>
      <w:r w:rsidR="00957232" w:rsidRPr="00161897">
        <w:rPr>
          <w:rFonts w:cs="Arial"/>
        </w:rPr>
        <w:t xml:space="preserve">de operações de crédito de investimento rural contratadas </w:t>
      </w:r>
      <w:r w:rsidR="00957232">
        <w:rPr>
          <w:rFonts w:cs="Arial"/>
        </w:rPr>
        <w:t xml:space="preserve">na modalidade indireta automática </w:t>
      </w:r>
      <w:r w:rsidR="00957232" w:rsidRPr="00161897">
        <w:rPr>
          <w:rFonts w:cs="Arial"/>
        </w:rPr>
        <w:t>no âmbito do Programa Nacional de Fortalecimento da Agricultura Familiar – PRONAF</w:t>
      </w:r>
      <w:r w:rsidR="00957232">
        <w:rPr>
          <w:rFonts w:cs="Arial"/>
        </w:rPr>
        <w:t>, conforme se segue</w:t>
      </w:r>
      <w:r w:rsidRPr="00161897">
        <w:rPr>
          <w:rFonts w:cs="Arial"/>
        </w:rPr>
        <w:t>.</w:t>
      </w:r>
    </w:p>
    <w:p w14:paraId="5B15F2DB" w14:textId="77777777" w:rsidR="00AF4753" w:rsidRPr="00161897" w:rsidRDefault="00AF4753" w:rsidP="00AF4753">
      <w:pPr>
        <w:pStyle w:val="BNDES"/>
        <w:spacing w:after="120"/>
        <w:ind w:right="-11"/>
        <w:rPr>
          <w:rFonts w:cs="Arial"/>
        </w:rPr>
      </w:pPr>
    </w:p>
    <w:p w14:paraId="7412AA00" w14:textId="793797EC" w:rsidR="00AF4753" w:rsidRPr="00F94298" w:rsidRDefault="00AF4753" w:rsidP="00AF4753">
      <w:pPr>
        <w:pStyle w:val="BNDES"/>
        <w:numPr>
          <w:ilvl w:val="0"/>
          <w:numId w:val="4"/>
        </w:numPr>
        <w:spacing w:before="120" w:after="120"/>
        <w:ind w:left="1418" w:hanging="567"/>
        <w:rPr>
          <w:rFonts w:cs="Arial"/>
          <w:szCs w:val="24"/>
        </w:rPr>
      </w:pPr>
      <w:r w:rsidRPr="002360D2">
        <w:rPr>
          <w:rFonts w:cs="Arial"/>
          <w:bCs/>
          <w:szCs w:val="24"/>
        </w:rPr>
        <w:t xml:space="preserve">Ficam </w:t>
      </w:r>
      <w:r w:rsidR="0071562C" w:rsidRPr="002360D2">
        <w:rPr>
          <w:rFonts w:cs="Arial"/>
          <w:bCs/>
          <w:szCs w:val="24"/>
        </w:rPr>
        <w:t xml:space="preserve">as </w:t>
      </w:r>
      <w:r w:rsidR="00AB4ECC" w:rsidRPr="002360D2">
        <w:rPr>
          <w:rFonts w:cs="Arial"/>
        </w:rPr>
        <w:t xml:space="preserve">Instituições Financeiras Credenciadas autorizadas, </w:t>
      </w:r>
      <w:r w:rsidR="0071562C" w:rsidRPr="002360D2">
        <w:rPr>
          <w:rFonts w:cs="Arial"/>
        </w:rPr>
        <w:t>nos termos das condições constantes da alínea “f” do item</w:t>
      </w:r>
      <w:r w:rsidR="00AB4ECC" w:rsidRPr="00957232">
        <w:rPr>
          <w:rFonts w:cs="Arial"/>
        </w:rPr>
        <w:t xml:space="preserve"> </w:t>
      </w:r>
      <w:r w:rsidR="001C50D0" w:rsidRPr="00957232">
        <w:rPr>
          <w:rFonts w:cs="Arial"/>
        </w:rPr>
        <w:t xml:space="preserve">25 </w:t>
      </w:r>
      <w:r w:rsidR="0071562C" w:rsidRPr="00957232">
        <w:rPr>
          <w:rFonts w:cs="Arial"/>
        </w:rPr>
        <w:t>e do ite</w:t>
      </w:r>
      <w:r w:rsidR="009A2AC4" w:rsidRPr="00837E27">
        <w:rPr>
          <w:rFonts w:cs="Arial"/>
        </w:rPr>
        <w:t>m</w:t>
      </w:r>
      <w:r w:rsidR="0071562C" w:rsidRPr="00837E27">
        <w:rPr>
          <w:rFonts w:cs="Arial"/>
        </w:rPr>
        <w:t xml:space="preserve"> </w:t>
      </w:r>
      <w:r w:rsidR="001C50D0" w:rsidRPr="00837E27">
        <w:rPr>
          <w:rFonts w:cs="Arial"/>
        </w:rPr>
        <w:t xml:space="preserve">27 </w:t>
      </w:r>
      <w:r w:rsidRPr="00837E27">
        <w:rPr>
          <w:rFonts w:cs="Arial"/>
          <w:bCs/>
          <w:szCs w:val="24"/>
        </w:rPr>
        <w:t xml:space="preserve">da Seção </w:t>
      </w:r>
      <w:r w:rsidR="00DB05D9" w:rsidRPr="00837E27">
        <w:rPr>
          <w:rFonts w:cs="Arial"/>
          <w:bCs/>
          <w:szCs w:val="24"/>
        </w:rPr>
        <w:t>1</w:t>
      </w:r>
      <w:r w:rsidRPr="00837E27">
        <w:rPr>
          <w:rFonts w:cs="Arial"/>
          <w:bCs/>
          <w:szCs w:val="24"/>
        </w:rPr>
        <w:t xml:space="preserve"> do Capítulo </w:t>
      </w:r>
      <w:r w:rsidR="00DB05D9" w:rsidRPr="00837E27">
        <w:rPr>
          <w:rFonts w:cs="Arial"/>
          <w:bCs/>
          <w:szCs w:val="24"/>
        </w:rPr>
        <w:t>10</w:t>
      </w:r>
      <w:r w:rsidR="00BE643D" w:rsidRPr="00837E27">
        <w:rPr>
          <w:rFonts w:cs="Arial"/>
          <w:bCs/>
          <w:szCs w:val="24"/>
        </w:rPr>
        <w:t xml:space="preserve"> do Manual de Crédito Rural – </w:t>
      </w:r>
      <w:r w:rsidRPr="003659EC">
        <w:rPr>
          <w:rFonts w:cs="Arial"/>
          <w:bCs/>
          <w:szCs w:val="24"/>
        </w:rPr>
        <w:t xml:space="preserve">MCR, </w:t>
      </w:r>
      <w:r w:rsidR="001C50D0" w:rsidRPr="00FB7D1F">
        <w:rPr>
          <w:rFonts w:cs="Arial"/>
          <w:bCs/>
          <w:szCs w:val="24"/>
        </w:rPr>
        <w:t xml:space="preserve">a seu critério, e </w:t>
      </w:r>
      <w:r w:rsidRPr="00F7730D">
        <w:rPr>
          <w:rFonts w:cs="Arial"/>
          <w:bCs/>
          <w:szCs w:val="24"/>
        </w:rPr>
        <w:t xml:space="preserve">nos casos em que ficar comprovada a </w:t>
      </w:r>
      <w:r w:rsidR="009A2AC4" w:rsidRPr="00DD6533">
        <w:rPr>
          <w:rFonts w:cs="Arial"/>
        </w:rPr>
        <w:t xml:space="preserve">dificuldade temporária para </w:t>
      </w:r>
      <w:r w:rsidR="009A2AC4" w:rsidRPr="00837E27">
        <w:rPr>
          <w:rFonts w:cs="Arial"/>
        </w:rPr>
        <w:t>reembolso do crédito</w:t>
      </w:r>
      <w:r w:rsidR="001C50D0" w:rsidRPr="00837E27">
        <w:rPr>
          <w:rFonts w:cs="Arial"/>
          <w:bCs/>
          <w:szCs w:val="24"/>
        </w:rPr>
        <w:t xml:space="preserve"> em vista das situações previstas </w:t>
      </w:r>
      <w:r w:rsidR="001C50D0" w:rsidRPr="00E31C21">
        <w:rPr>
          <w:rFonts w:cs="Arial"/>
          <w:bCs/>
          <w:strike/>
          <w:szCs w:val="24"/>
        </w:rPr>
        <w:t>nas alíneas “a” a “c” do</w:t>
      </w:r>
      <w:r w:rsidR="001C50D0" w:rsidRPr="003659EC">
        <w:rPr>
          <w:rFonts w:cs="Arial"/>
          <w:bCs/>
          <w:szCs w:val="24"/>
        </w:rPr>
        <w:t xml:space="preserve"> </w:t>
      </w:r>
      <w:r w:rsidR="00E31C21">
        <w:rPr>
          <w:rFonts w:cs="Arial"/>
          <w:bCs/>
          <w:szCs w:val="24"/>
        </w:rPr>
        <w:t xml:space="preserve">no </w:t>
      </w:r>
      <w:r w:rsidR="001C50D0" w:rsidRPr="003659EC">
        <w:rPr>
          <w:rFonts w:cs="Arial"/>
          <w:bCs/>
          <w:szCs w:val="24"/>
        </w:rPr>
        <w:t>item 1.6 desta Circular</w:t>
      </w:r>
      <w:r w:rsidRPr="00FB7D1F">
        <w:rPr>
          <w:rFonts w:cs="Arial"/>
          <w:bCs/>
          <w:szCs w:val="24"/>
        </w:rPr>
        <w:t>, a renegociar as parcelas de amortizaç</w:t>
      </w:r>
      <w:r w:rsidR="008F65EF" w:rsidRPr="00F7730D">
        <w:rPr>
          <w:rFonts w:cs="Arial"/>
          <w:bCs/>
          <w:szCs w:val="24"/>
        </w:rPr>
        <w:t>ão</w:t>
      </w:r>
      <w:r w:rsidRPr="00DD6533">
        <w:rPr>
          <w:rFonts w:cs="Arial"/>
          <w:bCs/>
          <w:szCs w:val="24"/>
        </w:rPr>
        <w:t xml:space="preserve"> de suas operações de crédito de investimento rural contratadas no âmbito do Programa Nacional de Fortalecimento da Agricultura Familiar – PRONAF, com vencimento no ano </w:t>
      </w:r>
      <w:r w:rsidRPr="00F75531">
        <w:rPr>
          <w:rFonts w:cs="Arial"/>
          <w:bCs/>
          <w:szCs w:val="24"/>
        </w:rPr>
        <w:t xml:space="preserve">civil, </w:t>
      </w:r>
      <w:r w:rsidR="009A2AC4" w:rsidRPr="002A099F">
        <w:rPr>
          <w:rFonts w:cs="Arial"/>
        </w:rPr>
        <w:t>desde que a Instituição Financeira Credenciada ateste a necessidade de prorrogação e demonstre a capacidade de pagamento da Beneficiária Final,</w:t>
      </w:r>
      <w:r w:rsidRPr="009E7717">
        <w:rPr>
          <w:rFonts w:cs="Arial"/>
          <w:bCs/>
          <w:szCs w:val="24"/>
        </w:rPr>
        <w:t xml:space="preserve"> respeitado o limite de 8% (oito por cento) do valor do somatório das parcelas </w:t>
      </w:r>
      <w:r w:rsidR="00D51396" w:rsidRPr="00C36F45">
        <w:rPr>
          <w:rFonts w:cs="Arial"/>
          <w:bCs/>
          <w:szCs w:val="24"/>
        </w:rPr>
        <w:t>de principal</w:t>
      </w:r>
      <w:r w:rsidRPr="00D63269">
        <w:rPr>
          <w:rFonts w:cs="Arial"/>
          <w:bCs/>
          <w:szCs w:val="24"/>
        </w:rPr>
        <w:t xml:space="preserve"> com vencimento no respectivo ano, </w:t>
      </w:r>
      <w:r w:rsidR="00262FD0" w:rsidRPr="00D63269">
        <w:rPr>
          <w:rFonts w:cs="Arial"/>
          <w:bCs/>
          <w:szCs w:val="24"/>
        </w:rPr>
        <w:t xml:space="preserve">relativamente ao conjunto dessas operações, </w:t>
      </w:r>
      <w:r w:rsidRPr="00F94298">
        <w:rPr>
          <w:rFonts w:cs="Arial"/>
          <w:bCs/>
          <w:szCs w:val="24"/>
        </w:rPr>
        <w:t>observadas as seguintes condições:</w:t>
      </w:r>
      <w:r w:rsidR="002A7F3E">
        <w:rPr>
          <w:rFonts w:cs="Arial"/>
          <w:bCs/>
          <w:szCs w:val="24"/>
        </w:rPr>
        <w:t xml:space="preserve"> </w:t>
      </w:r>
      <w:r w:rsidR="002A7F3E">
        <w:rPr>
          <w:rFonts w:cs="Arial"/>
          <w:b/>
          <w:i/>
          <w:color w:val="000099"/>
          <w:sz w:val="20"/>
        </w:rPr>
        <w:t xml:space="preserve">(Alterado pela Circular SUP/ADIG n° </w:t>
      </w:r>
      <w:r w:rsidR="002A7F3E">
        <w:rPr>
          <w:rFonts w:cs="Arial"/>
          <w:b/>
          <w:i/>
          <w:color w:val="000099"/>
          <w:sz w:val="20"/>
        </w:rPr>
        <w:t>61</w:t>
      </w:r>
      <w:r w:rsidR="002A7F3E">
        <w:rPr>
          <w:rFonts w:cs="Arial"/>
          <w:b/>
          <w:i/>
          <w:color w:val="000099"/>
          <w:sz w:val="20"/>
        </w:rPr>
        <w:t>/202</w:t>
      </w:r>
      <w:r w:rsidR="002A7F3E">
        <w:rPr>
          <w:rFonts w:cs="Arial"/>
          <w:b/>
          <w:i/>
          <w:color w:val="000099"/>
          <w:sz w:val="20"/>
        </w:rPr>
        <w:t>5</w:t>
      </w:r>
      <w:r w:rsidR="002A7F3E">
        <w:rPr>
          <w:rFonts w:cs="Arial"/>
          <w:b/>
          <w:i/>
          <w:color w:val="000099"/>
          <w:sz w:val="20"/>
        </w:rPr>
        <w:t xml:space="preserve">-BNDES, de </w:t>
      </w:r>
      <w:r w:rsidR="002A7F3E">
        <w:rPr>
          <w:rFonts w:cs="Arial"/>
          <w:b/>
          <w:i/>
          <w:color w:val="000099"/>
          <w:sz w:val="20"/>
        </w:rPr>
        <w:t>09</w:t>
      </w:r>
      <w:r w:rsidR="002A7F3E">
        <w:rPr>
          <w:rFonts w:cs="Arial"/>
          <w:b/>
          <w:i/>
          <w:color w:val="000099"/>
          <w:sz w:val="20"/>
        </w:rPr>
        <w:t>.0</w:t>
      </w:r>
      <w:r w:rsidR="002A7F3E">
        <w:rPr>
          <w:rFonts w:cs="Arial"/>
          <w:b/>
          <w:i/>
          <w:color w:val="000099"/>
          <w:sz w:val="20"/>
        </w:rPr>
        <w:t>7</w:t>
      </w:r>
      <w:r w:rsidR="002A7F3E">
        <w:rPr>
          <w:rFonts w:cs="Arial"/>
          <w:b/>
          <w:i/>
          <w:color w:val="000099"/>
          <w:sz w:val="20"/>
        </w:rPr>
        <w:t>.202</w:t>
      </w:r>
      <w:r w:rsidR="002A7F3E">
        <w:rPr>
          <w:rFonts w:cs="Arial"/>
          <w:b/>
          <w:i/>
          <w:color w:val="000099"/>
          <w:sz w:val="20"/>
        </w:rPr>
        <w:t>5)</w:t>
      </w:r>
    </w:p>
    <w:p w14:paraId="0B10B82A" w14:textId="77777777" w:rsidR="00AF4753" w:rsidRPr="00410C8B" w:rsidRDefault="00AF4753" w:rsidP="00114067">
      <w:pPr>
        <w:pStyle w:val="BNDES"/>
        <w:numPr>
          <w:ilvl w:val="1"/>
          <w:numId w:val="4"/>
        </w:numPr>
        <w:spacing w:before="120" w:after="120"/>
        <w:ind w:left="1985" w:hanging="567"/>
        <w:rPr>
          <w:rFonts w:cs="Arial"/>
        </w:rPr>
      </w:pPr>
      <w:r w:rsidRPr="008F5A50">
        <w:rPr>
          <w:rFonts w:cs="Arial"/>
        </w:rPr>
        <w:t xml:space="preserve">A base de cálculo do limite de 8% (oito por cento) é o somatório dos valores das parcelas de </w:t>
      </w:r>
      <w:r w:rsidR="00CE05C5" w:rsidRPr="00C522B6">
        <w:rPr>
          <w:rFonts w:cs="Arial"/>
        </w:rPr>
        <w:t xml:space="preserve">principal </w:t>
      </w:r>
      <w:r w:rsidRPr="00C522B6">
        <w:rPr>
          <w:rFonts w:cs="Arial"/>
        </w:rPr>
        <w:t>de</w:t>
      </w:r>
      <w:r w:rsidR="00AC1BA7" w:rsidRPr="00C522B6">
        <w:rPr>
          <w:rFonts w:cs="Arial"/>
        </w:rPr>
        <w:t xml:space="preserve"> todas as</w:t>
      </w:r>
      <w:r w:rsidR="00C850F8" w:rsidRPr="00C522B6">
        <w:rPr>
          <w:rFonts w:cs="Arial"/>
        </w:rPr>
        <w:t xml:space="preserve"> operações </w:t>
      </w:r>
      <w:r w:rsidR="00CE4BB7" w:rsidRPr="00410C8B">
        <w:rPr>
          <w:rFonts w:cs="Arial"/>
        </w:rPr>
        <w:t xml:space="preserve">de investimento </w:t>
      </w:r>
      <w:r w:rsidR="00C850F8" w:rsidRPr="00410C8B">
        <w:rPr>
          <w:rFonts w:cs="Arial"/>
        </w:rPr>
        <w:t>firmadas no âmbito do PRONAF</w:t>
      </w:r>
      <w:r w:rsidRPr="00410C8B">
        <w:rPr>
          <w:rFonts w:cs="Arial"/>
        </w:rPr>
        <w:t xml:space="preserve">, com vencimento no respectivo ano, apurado em </w:t>
      </w:r>
      <w:r w:rsidR="00257584" w:rsidRPr="00410C8B">
        <w:rPr>
          <w:rFonts w:cs="Arial"/>
        </w:rPr>
        <w:t>31 de dezembro do ano anterior;</w:t>
      </w:r>
    </w:p>
    <w:p w14:paraId="1B75E7F8" w14:textId="77777777" w:rsidR="00AF4753" w:rsidRPr="00410C8B" w:rsidRDefault="00AF4753" w:rsidP="00114067">
      <w:pPr>
        <w:pStyle w:val="BNDES"/>
        <w:numPr>
          <w:ilvl w:val="2"/>
          <w:numId w:val="5"/>
        </w:numPr>
        <w:spacing w:before="120" w:after="120"/>
        <w:ind w:left="2835" w:hanging="850"/>
        <w:rPr>
          <w:rFonts w:cs="Arial"/>
        </w:rPr>
      </w:pPr>
      <w:r w:rsidRPr="00410C8B">
        <w:rPr>
          <w:rFonts w:cs="Arial"/>
        </w:rPr>
        <w:lastRenderedPageBreak/>
        <w:t xml:space="preserve">Para fins do disposto neste item, o BNDES informará anualmente a cada </w:t>
      </w:r>
      <w:r w:rsidR="00CE4BB7" w:rsidRPr="00410C8B">
        <w:rPr>
          <w:rFonts w:cs="Arial"/>
        </w:rPr>
        <w:t>Instituição Financeira Credenciada</w:t>
      </w:r>
      <w:r w:rsidRPr="00410C8B">
        <w:rPr>
          <w:rFonts w:cs="Arial"/>
        </w:rPr>
        <w:t>, por meio de Carta, o valor de seu respectivo limite</w:t>
      </w:r>
      <w:r w:rsidR="00B00E9E" w:rsidRPr="00410C8B">
        <w:rPr>
          <w:rFonts w:cs="Arial"/>
        </w:rPr>
        <w:t>.</w:t>
      </w:r>
    </w:p>
    <w:p w14:paraId="1550DE3A" w14:textId="2286882A" w:rsidR="00006B94" w:rsidRPr="00DD6533" w:rsidRDefault="00AF4753" w:rsidP="000C7B81">
      <w:pPr>
        <w:pStyle w:val="BNDES"/>
        <w:widowControl w:val="0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FB7D1F">
        <w:rPr>
          <w:rFonts w:cs="Arial"/>
        </w:rPr>
        <w:t xml:space="preserve">Cada operação de crédito somente pode ser beneficiada com até </w:t>
      </w:r>
      <w:r w:rsidRPr="00663A2E">
        <w:rPr>
          <w:rFonts w:cs="Arial"/>
          <w:strike/>
        </w:rPr>
        <w:t>2 (duas)</w:t>
      </w:r>
      <w:r w:rsidRPr="00FB7D1F">
        <w:rPr>
          <w:rFonts w:cs="Arial"/>
        </w:rPr>
        <w:t xml:space="preserve"> </w:t>
      </w:r>
      <w:r w:rsidR="00663A2E">
        <w:rPr>
          <w:rFonts w:cs="Arial"/>
        </w:rPr>
        <w:t xml:space="preserve">3 (três) </w:t>
      </w:r>
      <w:r w:rsidR="004A4C4A" w:rsidRPr="00FB7D1F">
        <w:rPr>
          <w:rFonts w:cs="Arial"/>
        </w:rPr>
        <w:t>renegocia</w:t>
      </w:r>
      <w:r w:rsidRPr="00F7730D">
        <w:rPr>
          <w:rFonts w:cs="Arial"/>
        </w:rPr>
        <w:t>ções de que trata esta Circular;</w:t>
      </w:r>
      <w:bookmarkStart w:id="0" w:name="LPHit1"/>
      <w:bookmarkEnd w:id="0"/>
      <w:r w:rsidR="00663A2E">
        <w:rPr>
          <w:rFonts w:cs="Arial"/>
        </w:rPr>
        <w:t xml:space="preserve"> </w:t>
      </w:r>
      <w:r w:rsidR="00663A2E">
        <w:rPr>
          <w:rFonts w:cs="Arial"/>
          <w:b/>
          <w:i/>
          <w:color w:val="000099"/>
          <w:sz w:val="20"/>
        </w:rPr>
        <w:t>(Alterado pela Circular SUP/ADIG n° 48/2023-BNDES, de 30.08.2023)</w:t>
      </w:r>
    </w:p>
    <w:p w14:paraId="5A6A1556" w14:textId="77777777" w:rsidR="00BE6FC1" w:rsidRPr="00161897" w:rsidRDefault="00BE6FC1" w:rsidP="00114067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161897">
        <w:rPr>
          <w:rFonts w:cs="Arial"/>
        </w:rPr>
        <w:t xml:space="preserve">Para efetivar a renegociação, a </w:t>
      </w:r>
      <w:r w:rsidRPr="00161897">
        <w:rPr>
          <w:rFonts w:cs="Arial"/>
          <w:szCs w:val="24"/>
        </w:rPr>
        <w:t>Beneficiária Final</w:t>
      </w:r>
      <w:r w:rsidRPr="00161897">
        <w:rPr>
          <w:rFonts w:cs="Arial"/>
        </w:rPr>
        <w:t xml:space="preserve"> deverá pagar o valor correspondente aos juros associados à </w:t>
      </w:r>
      <w:r w:rsidR="00341FAC" w:rsidRPr="00161897">
        <w:rPr>
          <w:rFonts w:cs="Arial"/>
        </w:rPr>
        <w:t>primeira parcela de principal renegociada</w:t>
      </w:r>
      <w:r w:rsidR="008A431E" w:rsidRPr="00161897">
        <w:rPr>
          <w:rFonts w:cs="Arial"/>
        </w:rPr>
        <w:t>, cabendo</w:t>
      </w:r>
      <w:r w:rsidR="005074FD" w:rsidRPr="00161897">
        <w:rPr>
          <w:rFonts w:cs="Arial"/>
        </w:rPr>
        <w:t>,</w:t>
      </w:r>
      <w:r w:rsidR="008A431E" w:rsidRPr="00161897">
        <w:rPr>
          <w:rFonts w:cs="Arial"/>
        </w:rPr>
        <w:t xml:space="preserve"> também</w:t>
      </w:r>
      <w:r w:rsidR="005074FD" w:rsidRPr="00161897">
        <w:rPr>
          <w:rFonts w:cs="Arial"/>
        </w:rPr>
        <w:t>,</w:t>
      </w:r>
      <w:r w:rsidR="008A431E" w:rsidRPr="00161897">
        <w:rPr>
          <w:rFonts w:cs="Arial"/>
        </w:rPr>
        <w:t xml:space="preserve"> se obrigar a pagar os juros associados às demais parcela(s) renegociada(s), na data original de vencimento da(s) mesma(s);</w:t>
      </w:r>
    </w:p>
    <w:p w14:paraId="32C15BE9" w14:textId="77777777" w:rsidR="00AF4753" w:rsidRPr="00DC1917" w:rsidRDefault="00AF4753" w:rsidP="00114067">
      <w:pPr>
        <w:pStyle w:val="BNDES"/>
        <w:widowControl w:val="0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4E5EE9">
        <w:rPr>
          <w:rFonts w:cs="Arial"/>
        </w:rPr>
        <w:t xml:space="preserve">As Beneficiárias Finais deverão solicitar a </w:t>
      </w:r>
      <w:r w:rsidR="00883A80" w:rsidRPr="009E7717">
        <w:rPr>
          <w:rFonts w:cs="Arial"/>
        </w:rPr>
        <w:t>r</w:t>
      </w:r>
      <w:r w:rsidR="00883A80" w:rsidRPr="00C36F45">
        <w:rPr>
          <w:rFonts w:cs="Arial"/>
        </w:rPr>
        <w:t xml:space="preserve">enegociação </w:t>
      </w:r>
      <w:r w:rsidRPr="00EF2C09">
        <w:rPr>
          <w:rFonts w:cs="Arial"/>
        </w:rPr>
        <w:t>do vencimento da parcela até a data prevista para o respectivo pagamento</w:t>
      </w:r>
      <w:r w:rsidRPr="007C1CFC">
        <w:rPr>
          <w:rFonts w:cs="Arial"/>
        </w:rPr>
        <w:t>, sob pena de terem o seu risco de crédito agravado em caso de inadimplemento</w:t>
      </w:r>
      <w:r w:rsidRPr="00DC1917">
        <w:rPr>
          <w:rFonts w:cs="Arial"/>
        </w:rPr>
        <w:t>;</w:t>
      </w:r>
    </w:p>
    <w:p w14:paraId="3EEFC10D" w14:textId="18185C0E" w:rsidR="008A37B1" w:rsidRPr="002A099F" w:rsidRDefault="00AF4753" w:rsidP="004A30E9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082E0E">
        <w:rPr>
          <w:rFonts w:cs="Arial"/>
          <w:strike/>
        </w:rPr>
        <w:t xml:space="preserve">A </w:t>
      </w:r>
      <w:r w:rsidR="008A52EC" w:rsidRPr="00082E0E">
        <w:rPr>
          <w:rFonts w:cs="Arial"/>
          <w:strike/>
        </w:rPr>
        <w:t xml:space="preserve">formalização da renegociação deve ser efetuada em até 60 (sessenta) dias após o vencimento da parcela de principal, sendo que </w:t>
      </w:r>
      <w:r w:rsidR="003A5FA3" w:rsidRPr="00082E0E">
        <w:rPr>
          <w:rFonts w:cs="Arial"/>
          <w:strike/>
        </w:rPr>
        <w:t>as Beneficiárias Finais</w:t>
      </w:r>
      <w:r w:rsidR="008A52EC" w:rsidRPr="00082E0E">
        <w:rPr>
          <w:rFonts w:cs="Arial"/>
          <w:strike/>
        </w:rPr>
        <w:t xml:space="preserve"> devem solicitar a renegociação ora tratada em até 30 (trinta) dias após a data do mencionado vencimento</w:t>
      </w:r>
      <w:r w:rsidR="00082E0E">
        <w:rPr>
          <w:rFonts w:cs="Arial"/>
        </w:rPr>
        <w:t xml:space="preserve"> </w:t>
      </w:r>
      <w:r w:rsidR="00082E0E" w:rsidRPr="00082E0E">
        <w:rPr>
          <w:rFonts w:cs="Arial"/>
        </w:rPr>
        <w:t>Admite-se que a renegociação seja solicitada pela Beneficiária Final após a data de vencimento da prestação, sendo que a solicitação deverá ocorrer em até 30 (trinta) dias após a data do vencimento da prestação, devendo a renegociação ser formalizada em até 90 (noventa) dias após o pedido de renegociação da Beneficiária Final</w:t>
      </w:r>
      <w:r w:rsidRPr="002A099F">
        <w:rPr>
          <w:rFonts w:cs="Arial"/>
        </w:rPr>
        <w:t>;</w:t>
      </w:r>
      <w:r w:rsidR="00082E0E">
        <w:rPr>
          <w:rFonts w:cs="Arial"/>
        </w:rPr>
        <w:t xml:space="preserve"> </w:t>
      </w:r>
      <w:r w:rsidR="00082E0E">
        <w:rPr>
          <w:rFonts w:cs="Arial"/>
          <w:b/>
          <w:i/>
          <w:color w:val="000099"/>
          <w:sz w:val="20"/>
        </w:rPr>
        <w:t>(Alterado pela Circular SUP/ADIG n° 22/2024-BNDES, de 07.05.2024)</w:t>
      </w:r>
    </w:p>
    <w:p w14:paraId="0ECDED89" w14:textId="77777777" w:rsidR="00AF4753" w:rsidRPr="009E7717" w:rsidRDefault="00AF4753" w:rsidP="002736AD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4E5EE9">
        <w:rPr>
          <w:rFonts w:cs="Arial"/>
        </w:rPr>
        <w:t xml:space="preserve">O pedido de </w:t>
      </w:r>
      <w:r w:rsidR="004A4C4A" w:rsidRPr="009E7717">
        <w:rPr>
          <w:rFonts w:cs="Arial"/>
        </w:rPr>
        <w:t xml:space="preserve">renegociação </w:t>
      </w:r>
      <w:r w:rsidR="00784701" w:rsidRPr="00C36F45">
        <w:rPr>
          <w:rFonts w:cs="Arial"/>
        </w:rPr>
        <w:t xml:space="preserve">da </w:t>
      </w:r>
      <w:r w:rsidRPr="00EF2C09">
        <w:rPr>
          <w:rFonts w:cs="Arial"/>
        </w:rPr>
        <w:t>Beneficiária Final deve vir acompanhado de informações técnicas</w:t>
      </w:r>
      <w:r w:rsidRPr="007C1CFC">
        <w:rPr>
          <w:rFonts w:cs="Arial"/>
        </w:rPr>
        <w:t xml:space="preserve"> que permitam </w:t>
      </w:r>
      <w:r w:rsidR="003A5FA3" w:rsidRPr="00DC1917">
        <w:rPr>
          <w:rFonts w:cs="Arial"/>
        </w:rPr>
        <w:t>à Instituição Financeira Credenciada</w:t>
      </w:r>
      <w:r w:rsidRPr="00D63269">
        <w:rPr>
          <w:rFonts w:cs="Arial"/>
        </w:rPr>
        <w:t xml:space="preserve"> comprovar </w:t>
      </w:r>
      <w:r w:rsidR="004E03F3" w:rsidRPr="00F94298">
        <w:rPr>
          <w:rFonts w:cs="Arial"/>
        </w:rPr>
        <w:t>a situação que gerou a</w:t>
      </w:r>
      <w:r w:rsidRPr="008F5A50">
        <w:rPr>
          <w:rFonts w:cs="Arial"/>
        </w:rPr>
        <w:t xml:space="preserve"> </w:t>
      </w:r>
      <w:r w:rsidR="002736AD" w:rsidRPr="008F5A50">
        <w:rPr>
          <w:rFonts w:cs="Arial"/>
        </w:rPr>
        <w:t xml:space="preserve">dificuldade temporária para </w:t>
      </w:r>
      <w:r w:rsidR="002736AD" w:rsidRPr="004E5EE9">
        <w:rPr>
          <w:rFonts w:cs="Arial"/>
        </w:rPr>
        <w:t>reembolso do crédito</w:t>
      </w:r>
      <w:r w:rsidRPr="004E5EE9">
        <w:rPr>
          <w:rFonts w:cs="Arial"/>
        </w:rPr>
        <w:t>, sua intensidade</w:t>
      </w:r>
      <w:r w:rsidR="003A5FA3" w:rsidRPr="004E5EE9">
        <w:rPr>
          <w:rFonts w:cs="Arial"/>
        </w:rPr>
        <w:t>,</w:t>
      </w:r>
      <w:r w:rsidRPr="004E5EE9">
        <w:rPr>
          <w:rFonts w:cs="Arial"/>
        </w:rPr>
        <w:t xml:space="preserve"> o percentual de redução de renda provocado</w:t>
      </w:r>
      <w:r w:rsidR="003A5FA3" w:rsidRPr="004E5EE9">
        <w:rPr>
          <w:rFonts w:cs="Arial"/>
        </w:rPr>
        <w:t xml:space="preserve"> e o tempo estimado para que a renda retorne ao patamar previsto no projeto de crédito</w:t>
      </w:r>
      <w:r w:rsidRPr="004E5EE9">
        <w:rPr>
          <w:rFonts w:cs="Arial"/>
        </w:rPr>
        <w:t xml:space="preserve">, </w:t>
      </w:r>
      <w:r w:rsidR="003A5FA3" w:rsidRPr="009E7717">
        <w:rPr>
          <w:rFonts w:cs="Arial"/>
        </w:rPr>
        <w:t>em consequência de</w:t>
      </w:r>
      <w:r w:rsidRPr="009E7717">
        <w:rPr>
          <w:rFonts w:cs="Arial"/>
        </w:rPr>
        <w:t>:</w:t>
      </w:r>
    </w:p>
    <w:p w14:paraId="0D1E6422" w14:textId="77777777" w:rsidR="00AF4753" w:rsidRPr="00C36F45" w:rsidRDefault="00AF4753" w:rsidP="004F655E">
      <w:pPr>
        <w:pStyle w:val="BNDES"/>
        <w:numPr>
          <w:ilvl w:val="3"/>
          <w:numId w:val="5"/>
        </w:numPr>
        <w:tabs>
          <w:tab w:val="clear" w:pos="2191"/>
          <w:tab w:val="num" w:pos="2410"/>
        </w:tabs>
        <w:spacing w:before="120" w:after="120"/>
        <w:ind w:left="2410" w:hanging="425"/>
        <w:rPr>
          <w:rFonts w:cs="Arial"/>
        </w:rPr>
      </w:pPr>
      <w:r w:rsidRPr="00C36F45">
        <w:rPr>
          <w:rFonts w:cs="Arial"/>
        </w:rPr>
        <w:t>dificuldade de comercialização dos produtos;</w:t>
      </w:r>
    </w:p>
    <w:p w14:paraId="61F42B24" w14:textId="77777777" w:rsidR="00AF4753" w:rsidRPr="00EF2C09" w:rsidRDefault="00AF4753" w:rsidP="004F655E">
      <w:pPr>
        <w:pStyle w:val="BNDES"/>
        <w:numPr>
          <w:ilvl w:val="3"/>
          <w:numId w:val="5"/>
        </w:numPr>
        <w:tabs>
          <w:tab w:val="clear" w:pos="2191"/>
          <w:tab w:val="num" w:pos="2410"/>
        </w:tabs>
        <w:spacing w:before="120" w:after="120"/>
        <w:ind w:left="2410" w:hanging="425"/>
        <w:rPr>
          <w:rFonts w:cs="Arial"/>
        </w:rPr>
      </w:pPr>
      <w:r w:rsidRPr="00EF2C09">
        <w:rPr>
          <w:rFonts w:cs="Arial"/>
        </w:rPr>
        <w:t>frustração de safras, por fatores adversos;</w:t>
      </w:r>
    </w:p>
    <w:p w14:paraId="6F27E628" w14:textId="77AE901B" w:rsidR="00AF4753" w:rsidRDefault="00AF4753" w:rsidP="004F655E">
      <w:pPr>
        <w:pStyle w:val="BNDES"/>
        <w:numPr>
          <w:ilvl w:val="3"/>
          <w:numId w:val="5"/>
        </w:numPr>
        <w:tabs>
          <w:tab w:val="clear" w:pos="2191"/>
          <w:tab w:val="num" w:pos="2410"/>
        </w:tabs>
        <w:spacing w:before="120" w:after="120"/>
        <w:ind w:left="2410" w:hanging="425"/>
        <w:rPr>
          <w:rFonts w:cs="Arial"/>
        </w:rPr>
      </w:pPr>
      <w:r w:rsidRPr="007C1CFC">
        <w:rPr>
          <w:rFonts w:cs="Arial"/>
        </w:rPr>
        <w:t>eventuais ocorrências prejudiciais ao desenvolvimento das explor</w:t>
      </w:r>
      <w:r w:rsidRPr="00DC1917">
        <w:rPr>
          <w:rFonts w:cs="Arial"/>
        </w:rPr>
        <w:t>ações</w:t>
      </w:r>
      <w:r w:rsidR="001C019B">
        <w:rPr>
          <w:rFonts w:cs="Arial"/>
        </w:rPr>
        <w:t>;</w:t>
      </w:r>
    </w:p>
    <w:p w14:paraId="44091C54" w14:textId="080E9FBE" w:rsidR="001C019B" w:rsidRPr="00DC1917" w:rsidRDefault="001C019B" w:rsidP="004F655E">
      <w:pPr>
        <w:pStyle w:val="BNDES"/>
        <w:numPr>
          <w:ilvl w:val="3"/>
          <w:numId w:val="5"/>
        </w:numPr>
        <w:tabs>
          <w:tab w:val="clear" w:pos="2191"/>
          <w:tab w:val="num" w:pos="2410"/>
        </w:tabs>
        <w:spacing w:before="120" w:after="120"/>
        <w:ind w:left="2410" w:hanging="425"/>
        <w:rPr>
          <w:rFonts w:cs="Arial"/>
        </w:rPr>
      </w:pPr>
      <w:r w:rsidRPr="002D2539">
        <w:rPr>
          <w:rFonts w:cs="Arial"/>
          <w:bCs/>
          <w:szCs w:val="24"/>
        </w:rPr>
        <w:t>dificuldades no fluxo de caixa d</w:t>
      </w:r>
      <w:r>
        <w:rPr>
          <w:rFonts w:cs="Arial"/>
          <w:bCs/>
          <w:szCs w:val="24"/>
        </w:rPr>
        <w:t>a</w:t>
      </w:r>
      <w:r w:rsidRPr="002D2539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Beneficiária Final</w:t>
      </w:r>
      <w:r w:rsidRPr="002D2539">
        <w:rPr>
          <w:rFonts w:cs="Arial"/>
          <w:bCs/>
          <w:szCs w:val="24"/>
        </w:rPr>
        <w:t xml:space="preserve">, devido ao impacto acumulado de perdas de safra decorrentes de eventos climáticos adversos em safras anteriores, que </w:t>
      </w:r>
      <w:r w:rsidRPr="002D2539">
        <w:rPr>
          <w:rFonts w:cs="Arial"/>
          <w:bCs/>
          <w:szCs w:val="24"/>
        </w:rPr>
        <w:lastRenderedPageBreak/>
        <w:t>gerem aumento do endividamento no Sistema Nacional de Crédito Rural – SNCR e impossibilitem o reembolso integral das operações de crédito rural</w:t>
      </w:r>
      <w:r>
        <w:rPr>
          <w:rFonts w:cs="Arial"/>
          <w:bCs/>
          <w:szCs w:val="24"/>
        </w:rPr>
        <w:t xml:space="preserve">, sendo que a renegociação realizada com base nesta alínea fica condicionada, ainda, a </w:t>
      </w:r>
      <w:r w:rsidRPr="00706C05">
        <w:rPr>
          <w:rFonts w:cs="Arial"/>
          <w:bCs/>
          <w:szCs w:val="24"/>
        </w:rPr>
        <w:t xml:space="preserve">que a </w:t>
      </w:r>
      <w:r>
        <w:rPr>
          <w:rFonts w:cs="Arial"/>
          <w:bCs/>
          <w:szCs w:val="24"/>
        </w:rPr>
        <w:t>I</w:t>
      </w:r>
      <w:r w:rsidRPr="00706C05">
        <w:rPr>
          <w:rFonts w:cs="Arial"/>
          <w:bCs/>
          <w:szCs w:val="24"/>
        </w:rPr>
        <w:t xml:space="preserve">nstituição </w:t>
      </w:r>
      <w:r>
        <w:rPr>
          <w:rFonts w:cs="Arial"/>
          <w:bCs/>
          <w:szCs w:val="24"/>
        </w:rPr>
        <w:t>F</w:t>
      </w:r>
      <w:r w:rsidRPr="00706C05">
        <w:rPr>
          <w:rFonts w:cs="Arial"/>
          <w:bCs/>
          <w:szCs w:val="24"/>
        </w:rPr>
        <w:t xml:space="preserve">inanceira </w:t>
      </w:r>
      <w:r>
        <w:rPr>
          <w:rFonts w:cs="Arial"/>
          <w:bCs/>
          <w:szCs w:val="24"/>
        </w:rPr>
        <w:t xml:space="preserve">Credenciada </w:t>
      </w:r>
      <w:r w:rsidRPr="00706C05">
        <w:rPr>
          <w:rFonts w:cs="Arial"/>
          <w:bCs/>
          <w:szCs w:val="24"/>
        </w:rPr>
        <w:t>analise o conjunto das atividades e a capacidade econômica d</w:t>
      </w:r>
      <w:r>
        <w:rPr>
          <w:rFonts w:cs="Arial"/>
          <w:bCs/>
          <w:szCs w:val="24"/>
        </w:rPr>
        <w:t>a</w:t>
      </w:r>
      <w:r w:rsidRPr="00706C05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Beneficiária Final</w:t>
      </w:r>
      <w:r w:rsidRPr="00706C05">
        <w:rPr>
          <w:rFonts w:cs="Arial"/>
          <w:bCs/>
          <w:szCs w:val="24"/>
        </w:rPr>
        <w:t>, incluindo bens de sua propriedade que possam ser comercializados ou recursos financeiros oriundos de outras atividades que possam ser utilizados para pagamento das dívidas a serem prorrogadas, inclusive para a quitação das parcelas vincendas ao longo do prazo concedido para a renegociação</w:t>
      </w:r>
      <w:r>
        <w:rPr>
          <w:rFonts w:cs="Arial"/>
          <w:bCs/>
          <w:szCs w:val="24"/>
        </w:rPr>
        <w:t xml:space="preserve">. </w:t>
      </w:r>
      <w:r>
        <w:rPr>
          <w:rFonts w:cs="Arial"/>
          <w:b/>
          <w:i/>
          <w:color w:val="000099"/>
          <w:sz w:val="20"/>
        </w:rPr>
        <w:t>(</w:t>
      </w:r>
      <w:r>
        <w:rPr>
          <w:rFonts w:cs="Arial"/>
          <w:b/>
          <w:i/>
          <w:color w:val="000099"/>
          <w:sz w:val="20"/>
        </w:rPr>
        <w:t>Incluí</w:t>
      </w:r>
      <w:r>
        <w:rPr>
          <w:rFonts w:cs="Arial"/>
          <w:b/>
          <w:i/>
          <w:color w:val="000099"/>
          <w:sz w:val="20"/>
        </w:rPr>
        <w:t>do pela Circular SUP/ADIG n° 61/2025-BNDES, de 09.07.2025</w:t>
      </w:r>
      <w:r>
        <w:rPr>
          <w:rFonts w:cs="Arial"/>
          <w:b/>
          <w:i/>
          <w:color w:val="000099"/>
          <w:sz w:val="20"/>
        </w:rPr>
        <w:t>).</w:t>
      </w:r>
    </w:p>
    <w:p w14:paraId="68B583D1" w14:textId="77777777" w:rsidR="00AF4753" w:rsidRPr="009E7717" w:rsidRDefault="00CE02E9" w:rsidP="00114067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F94298">
        <w:rPr>
          <w:rFonts w:cs="Arial"/>
        </w:rPr>
        <w:t xml:space="preserve">Quando uma mesma situação geradora de </w:t>
      </w:r>
      <w:r w:rsidR="007E6686" w:rsidRPr="008F5A50">
        <w:rPr>
          <w:rFonts w:cs="Arial"/>
        </w:rPr>
        <w:t xml:space="preserve">dificuldade temporária para </w:t>
      </w:r>
      <w:r w:rsidR="007E6686" w:rsidRPr="009E7717">
        <w:rPr>
          <w:rFonts w:cs="Arial"/>
        </w:rPr>
        <w:t>reembolso de crédito</w:t>
      </w:r>
      <w:r w:rsidR="00AF4753" w:rsidRPr="009E7717">
        <w:rPr>
          <w:rFonts w:cs="Arial"/>
        </w:rPr>
        <w:t xml:space="preserve"> atingir mais de 30 (trinta) agricultores </w:t>
      </w:r>
      <w:r w:rsidR="00BC46FF">
        <w:rPr>
          <w:rFonts w:cs="Arial"/>
        </w:rPr>
        <w:t xml:space="preserve">familiares </w:t>
      </w:r>
      <w:r w:rsidR="00AF4753" w:rsidRPr="009E7717">
        <w:rPr>
          <w:rFonts w:cs="Arial"/>
        </w:rPr>
        <w:t xml:space="preserve">de um mesmo </w:t>
      </w:r>
      <w:r w:rsidR="00A04FEB" w:rsidRPr="009E7717">
        <w:rPr>
          <w:rFonts w:cs="Arial"/>
        </w:rPr>
        <w:t>M</w:t>
      </w:r>
      <w:r w:rsidR="00AF4753" w:rsidRPr="009E7717">
        <w:rPr>
          <w:rFonts w:cs="Arial"/>
        </w:rPr>
        <w:t>unicípio, o</w:t>
      </w:r>
      <w:r w:rsidRPr="009E7717">
        <w:rPr>
          <w:rFonts w:cs="Arial"/>
        </w:rPr>
        <w:t xml:space="preserve"> laudo ou</w:t>
      </w:r>
      <w:r w:rsidR="00AF4753" w:rsidRPr="009E7717">
        <w:rPr>
          <w:rFonts w:cs="Arial"/>
        </w:rPr>
        <w:t xml:space="preserve"> documento com as informações de que trata o item anterior poderá ser grupal;</w:t>
      </w:r>
    </w:p>
    <w:p w14:paraId="168EC95D" w14:textId="77777777" w:rsidR="00B00E9E" w:rsidRPr="007C1CFC" w:rsidRDefault="00B00E9E" w:rsidP="008471F0">
      <w:pPr>
        <w:pStyle w:val="BNDES"/>
        <w:numPr>
          <w:ilvl w:val="2"/>
          <w:numId w:val="5"/>
        </w:numPr>
        <w:spacing w:before="120" w:after="120"/>
        <w:ind w:left="2835" w:hanging="850"/>
        <w:rPr>
          <w:rFonts w:cs="Arial"/>
        </w:rPr>
      </w:pPr>
      <w:r w:rsidRPr="009E7717">
        <w:rPr>
          <w:rFonts w:cs="Arial"/>
        </w:rPr>
        <w:t>As Instituições Financeiras Credenciadas devem analisar as solicitações de renegociação caso a caso, com exceção d</w:t>
      </w:r>
      <w:r w:rsidR="008471F0" w:rsidRPr="00C36F45">
        <w:rPr>
          <w:rFonts w:cs="Arial"/>
        </w:rPr>
        <w:t>os casos enquadrados no item 1.7</w:t>
      </w:r>
      <w:r w:rsidRPr="00C36F45">
        <w:rPr>
          <w:rFonts w:cs="Arial"/>
        </w:rPr>
        <w:t>, para os quais poderá ser feita a análise com base no laudo grup</w:t>
      </w:r>
      <w:r w:rsidRPr="00EF2C09">
        <w:rPr>
          <w:rFonts w:cs="Arial"/>
        </w:rPr>
        <w:t>al.</w:t>
      </w:r>
    </w:p>
    <w:p w14:paraId="7ECF9F7E" w14:textId="77777777" w:rsidR="00AF4753" w:rsidRPr="00200C02" w:rsidRDefault="00AF4753" w:rsidP="00114067">
      <w:pPr>
        <w:pStyle w:val="BNDES"/>
        <w:numPr>
          <w:ilvl w:val="1"/>
          <w:numId w:val="5"/>
        </w:numPr>
        <w:tabs>
          <w:tab w:val="left" w:pos="1985"/>
          <w:tab w:val="num" w:pos="3119"/>
          <w:tab w:val="left" w:pos="3261"/>
        </w:tabs>
        <w:spacing w:before="120" w:after="120"/>
        <w:ind w:left="1985" w:hanging="567"/>
        <w:rPr>
          <w:rFonts w:cs="Arial"/>
        </w:rPr>
      </w:pPr>
      <w:r w:rsidRPr="00161897">
        <w:rPr>
          <w:rFonts w:cs="Arial"/>
        </w:rPr>
        <w:t xml:space="preserve">O valor da(s) parcela(s) do principal renegociada(s) será incorporado ao saldo devedor e redistribuído nas parcelas restantes, mantendo-se a cobrança pela sistemática original prevista no contrato, podendo ser prorrogado o termo final do contrato por </w:t>
      </w:r>
      <w:r w:rsidRPr="00650B15">
        <w:rPr>
          <w:rFonts w:cs="Arial"/>
        </w:rPr>
        <w:t>a</w:t>
      </w:r>
      <w:r w:rsidRPr="00C36F45">
        <w:rPr>
          <w:rFonts w:cs="Arial"/>
        </w:rPr>
        <w:t xml:space="preserve">té um ano após a data prevista originalmente para o </w:t>
      </w:r>
      <w:r w:rsidRPr="00EF2C09">
        <w:rPr>
          <w:rFonts w:cs="Arial"/>
        </w:rPr>
        <w:t>vencimento vigente</w:t>
      </w:r>
      <w:r w:rsidRPr="007C1CFC">
        <w:rPr>
          <w:rFonts w:cs="Arial"/>
        </w:rPr>
        <w:t xml:space="preserve"> do</w:t>
      </w:r>
      <w:r w:rsidRPr="00161897">
        <w:rPr>
          <w:rFonts w:cs="Arial"/>
        </w:rPr>
        <w:t xml:space="preserve"> contrato, mantidas as demais condições pactuadas, em especial a periodicidade original;</w:t>
      </w:r>
    </w:p>
    <w:p w14:paraId="7E269324" w14:textId="77777777" w:rsidR="00200C02" w:rsidRPr="00957232" w:rsidRDefault="00200C02" w:rsidP="00200C02">
      <w:pPr>
        <w:pStyle w:val="BNDES"/>
        <w:numPr>
          <w:ilvl w:val="2"/>
          <w:numId w:val="5"/>
        </w:numPr>
        <w:tabs>
          <w:tab w:val="left" w:pos="1985"/>
          <w:tab w:val="left" w:pos="2835"/>
        </w:tabs>
        <w:spacing w:before="120" w:after="120"/>
        <w:ind w:left="2835" w:hanging="850"/>
        <w:rPr>
          <w:rFonts w:cs="Arial"/>
        </w:rPr>
      </w:pPr>
      <w:r w:rsidRPr="002360D2">
        <w:rPr>
          <w:rFonts w:cs="Arial"/>
        </w:rPr>
        <w:t>Devem ser mantidos, para as parcelas e operações renegociadas, os encargos contratuais de ad</w:t>
      </w:r>
      <w:r w:rsidRPr="00957232">
        <w:rPr>
          <w:rFonts w:cs="Arial"/>
        </w:rPr>
        <w:t>implência vigentes quando da renegociação.</w:t>
      </w:r>
    </w:p>
    <w:p w14:paraId="28E7BB59" w14:textId="77777777" w:rsidR="00541A1C" w:rsidRPr="009E7717" w:rsidRDefault="00CD65CF" w:rsidP="004E4EA9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837E27">
        <w:rPr>
          <w:rFonts w:cs="Arial"/>
        </w:rPr>
        <w:t>As Instituições Financeiras Credenciadas</w:t>
      </w:r>
      <w:r w:rsidR="00AF4753" w:rsidRPr="003659EC">
        <w:rPr>
          <w:rFonts w:cs="Arial"/>
        </w:rPr>
        <w:t xml:space="preserve"> deverão atender</w:t>
      </w:r>
      <w:r w:rsidR="00AF4753" w:rsidRPr="00F7730D">
        <w:rPr>
          <w:rFonts w:cs="Arial"/>
        </w:rPr>
        <w:t xml:space="preserve"> prioritariamente, com as medidas previstas na presente</w:t>
      </w:r>
      <w:r w:rsidRPr="00F7730D">
        <w:rPr>
          <w:rFonts w:cs="Arial"/>
        </w:rPr>
        <w:t xml:space="preserve"> Circular</w:t>
      </w:r>
      <w:r w:rsidR="00AF4753" w:rsidRPr="00DD6533">
        <w:rPr>
          <w:rFonts w:cs="Arial"/>
        </w:rPr>
        <w:t xml:space="preserve">, </w:t>
      </w:r>
      <w:r w:rsidR="004E4EA9" w:rsidRPr="00DD6533">
        <w:rPr>
          <w:rFonts w:cs="Arial"/>
        </w:rPr>
        <w:t>as Beneficiárias Finais</w:t>
      </w:r>
      <w:r w:rsidR="00AF4753" w:rsidRPr="00F75531">
        <w:rPr>
          <w:rFonts w:cs="Arial"/>
        </w:rPr>
        <w:t xml:space="preserve"> com maior dificuldade em efetuar o pagamento integral das parcelas nos</w:t>
      </w:r>
      <w:r w:rsidR="00D75866" w:rsidRPr="002A099F">
        <w:rPr>
          <w:rFonts w:cs="Arial"/>
        </w:rPr>
        <w:t xml:space="preserve"> </w:t>
      </w:r>
      <w:r w:rsidR="00AF4753" w:rsidRPr="002A099F">
        <w:rPr>
          <w:rFonts w:cs="Arial"/>
        </w:rPr>
        <w:t>prazos estabelecidos</w:t>
      </w:r>
      <w:r w:rsidR="004E4EA9" w:rsidRPr="004E5EE9">
        <w:rPr>
          <w:rFonts w:cs="Arial"/>
        </w:rPr>
        <w:t>.</w:t>
      </w:r>
    </w:p>
    <w:p w14:paraId="5D0B1521" w14:textId="69B60B4C" w:rsidR="00AF4753" w:rsidRPr="008F5A50" w:rsidRDefault="00AF4753" w:rsidP="00114067">
      <w:pPr>
        <w:pStyle w:val="BNDES"/>
        <w:numPr>
          <w:ilvl w:val="0"/>
          <w:numId w:val="5"/>
        </w:numPr>
        <w:spacing w:before="120" w:after="120"/>
        <w:ind w:left="1418" w:hanging="567"/>
        <w:rPr>
          <w:rFonts w:cs="Arial"/>
        </w:rPr>
      </w:pPr>
      <w:r w:rsidRPr="009E7717">
        <w:rPr>
          <w:rFonts w:cs="Arial"/>
        </w:rPr>
        <w:tab/>
      </w:r>
      <w:r w:rsidRPr="00663A2E">
        <w:rPr>
          <w:rFonts w:cs="Arial"/>
          <w:strike/>
        </w:rPr>
        <w:t xml:space="preserve">A Beneficiária Final que renegociar </w:t>
      </w:r>
      <w:r w:rsidR="00C36F45" w:rsidRPr="00663A2E">
        <w:rPr>
          <w:rFonts w:cs="Arial"/>
          <w:strike/>
        </w:rPr>
        <w:t>sua dívida</w:t>
      </w:r>
      <w:r w:rsidRPr="00663A2E">
        <w:rPr>
          <w:rFonts w:cs="Arial"/>
          <w:strike/>
        </w:rPr>
        <w:t xml:space="preserve"> nas condições ora estabelecidas ficará impedida, até que pague integralmente as prestações previstas para o ano seguinte (parcela do principal acrescida de juros), de contratar novo financiamento de investimento rural com recursos controlados do crédito rural, </w:t>
      </w:r>
      <w:r w:rsidR="00784270" w:rsidRPr="00663A2E">
        <w:rPr>
          <w:rFonts w:cs="Arial"/>
          <w:strike/>
        </w:rPr>
        <w:t xml:space="preserve">inclusive dos Fundos </w:t>
      </w:r>
      <w:r w:rsidR="00784270" w:rsidRPr="00663A2E">
        <w:rPr>
          <w:rFonts w:cs="Arial"/>
          <w:strike/>
        </w:rPr>
        <w:lastRenderedPageBreak/>
        <w:t xml:space="preserve">Constitucionais de Financiamento, </w:t>
      </w:r>
      <w:r w:rsidRPr="00663A2E">
        <w:rPr>
          <w:rFonts w:cs="Arial"/>
          <w:strike/>
        </w:rPr>
        <w:t>em todo o Sistema Na</w:t>
      </w:r>
      <w:r w:rsidR="00257584" w:rsidRPr="00663A2E">
        <w:rPr>
          <w:rFonts w:cs="Arial"/>
          <w:strike/>
        </w:rPr>
        <w:t>cional de Crédito Rural (SNCR).</w:t>
      </w:r>
      <w:r w:rsidR="00663A2E">
        <w:rPr>
          <w:rFonts w:cs="Arial"/>
        </w:rPr>
        <w:t xml:space="preserve"> </w:t>
      </w:r>
      <w:r w:rsidR="00663A2E">
        <w:rPr>
          <w:rFonts w:cs="Arial"/>
          <w:b/>
          <w:i/>
          <w:color w:val="000099"/>
          <w:sz w:val="20"/>
        </w:rPr>
        <w:t>(Excluído pela Circular SUP/ADIG n° 48/2023-BNDES, de 30.08.2023)</w:t>
      </w:r>
    </w:p>
    <w:p w14:paraId="0D367DFD" w14:textId="6D91E3E9" w:rsidR="00AF4753" w:rsidRPr="00410C8B" w:rsidRDefault="00AF4753" w:rsidP="00114067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663A2E">
        <w:rPr>
          <w:rFonts w:cs="Arial"/>
          <w:strike/>
        </w:rPr>
        <w:t xml:space="preserve">Essa vedação não se aplica aos agricultores que tenham renegociado sua dívida nos termos da presente Circular, desde que seu patrimônio produtivo tenha sido prejudicado de forma a comprometer a continuidade de suas atividades, mediante comprovação dos prejuízos por laudo técnico, sendo permitida, nesses casos, a concessão de novo financiamento de investimento para a reconstrução do patrimônio afetado e para a retomada da produção, observados os limites por </w:t>
      </w:r>
      <w:r w:rsidR="00CD65CF" w:rsidRPr="00663A2E">
        <w:rPr>
          <w:rFonts w:cs="Arial"/>
          <w:strike/>
        </w:rPr>
        <w:t>B</w:t>
      </w:r>
      <w:r w:rsidRPr="00663A2E">
        <w:rPr>
          <w:rFonts w:cs="Arial"/>
          <w:strike/>
        </w:rPr>
        <w:t>eneficiári</w:t>
      </w:r>
      <w:r w:rsidR="00CD65CF" w:rsidRPr="00663A2E">
        <w:rPr>
          <w:rFonts w:cs="Arial"/>
          <w:strike/>
        </w:rPr>
        <w:t>a Final</w:t>
      </w:r>
      <w:r w:rsidRPr="00663A2E">
        <w:rPr>
          <w:rFonts w:cs="Arial"/>
          <w:strike/>
        </w:rPr>
        <w:t xml:space="preserve"> e demais condições estabelecidas para as respectivas modalidades de crédito.</w:t>
      </w:r>
      <w:r w:rsidR="00663A2E">
        <w:rPr>
          <w:rFonts w:cs="Arial"/>
        </w:rPr>
        <w:t xml:space="preserve"> </w:t>
      </w:r>
      <w:r w:rsidR="00663A2E">
        <w:rPr>
          <w:rFonts w:cs="Arial"/>
          <w:b/>
          <w:i/>
          <w:color w:val="000099"/>
          <w:sz w:val="20"/>
        </w:rPr>
        <w:t>(Excluído pela Circular SUP/ADIG n° 48/2023-BNDES, de 30.08.2023)</w:t>
      </w:r>
    </w:p>
    <w:p w14:paraId="7E8C1511" w14:textId="77777777" w:rsidR="005D2DE0" w:rsidRPr="004A30E9" w:rsidRDefault="005D2DE0" w:rsidP="000C7B81">
      <w:pPr>
        <w:pStyle w:val="BNDES"/>
        <w:numPr>
          <w:ilvl w:val="0"/>
          <w:numId w:val="5"/>
        </w:numPr>
        <w:tabs>
          <w:tab w:val="left" w:pos="1418"/>
        </w:tabs>
        <w:spacing w:before="120" w:after="120"/>
        <w:ind w:left="1418" w:hanging="567"/>
        <w:rPr>
          <w:rFonts w:cs="Arial"/>
        </w:rPr>
      </w:pPr>
      <w:r w:rsidRPr="00161897">
        <w:rPr>
          <w:rFonts w:cs="Arial"/>
        </w:rPr>
        <w:t xml:space="preserve">No caso </w:t>
      </w:r>
      <w:r w:rsidR="002F4049" w:rsidRPr="00161897">
        <w:rPr>
          <w:rFonts w:cs="Arial"/>
        </w:rPr>
        <w:t xml:space="preserve">de operação de crédito </w:t>
      </w:r>
      <w:r w:rsidR="00BC79BF" w:rsidRPr="00161897">
        <w:rPr>
          <w:rFonts w:cs="Arial"/>
        </w:rPr>
        <w:t xml:space="preserve">(i) </w:t>
      </w:r>
      <w:r w:rsidR="002F4049" w:rsidRPr="00161897">
        <w:rPr>
          <w:rFonts w:cs="Arial"/>
        </w:rPr>
        <w:t>originalmente protocolada no BNDES até 31 de dezembro de 2017</w:t>
      </w:r>
      <w:r w:rsidR="00BC79BF" w:rsidRPr="00161897">
        <w:rPr>
          <w:rFonts w:cs="Arial"/>
        </w:rPr>
        <w:t xml:space="preserve"> e (ii) não renegociada a partir de </w:t>
      </w:r>
      <w:r w:rsidR="00BC79BF" w:rsidRPr="007C1CFC">
        <w:rPr>
          <w:rFonts w:cs="Arial"/>
        </w:rPr>
        <w:t>2018</w:t>
      </w:r>
      <w:r w:rsidR="001C79FD" w:rsidRPr="007C1CFC">
        <w:rPr>
          <w:rFonts w:cs="Arial"/>
        </w:rPr>
        <w:t xml:space="preserve"> com prorrogação do termo final</w:t>
      </w:r>
      <w:r w:rsidR="002F4049" w:rsidRPr="007C1CFC">
        <w:rPr>
          <w:rFonts w:cs="Arial"/>
        </w:rPr>
        <w:t>, que</w:t>
      </w:r>
      <w:r w:rsidR="001C79FD" w:rsidRPr="007C1CFC">
        <w:rPr>
          <w:rFonts w:cs="Arial"/>
        </w:rPr>
        <w:t xml:space="preserve"> ora</w:t>
      </w:r>
      <w:r w:rsidR="002F4049" w:rsidRPr="007C1CFC">
        <w:rPr>
          <w:rFonts w:cs="Arial"/>
        </w:rPr>
        <w:t xml:space="preserve"> venha a ser renegociada </w:t>
      </w:r>
      <w:r w:rsidR="001C79FD" w:rsidRPr="00D63269">
        <w:rPr>
          <w:rFonts w:cs="Arial"/>
        </w:rPr>
        <w:t>com prorrogação do termo final</w:t>
      </w:r>
      <w:r w:rsidR="002F4049" w:rsidRPr="00D63269">
        <w:rPr>
          <w:rFonts w:cs="Arial"/>
        </w:rPr>
        <w:t>,</w:t>
      </w:r>
      <w:r w:rsidR="002F4049" w:rsidRPr="00F94298">
        <w:rPr>
          <w:rFonts w:cs="Arial"/>
        </w:rPr>
        <w:t xml:space="preserve"> será criado</w:t>
      </w:r>
      <w:r w:rsidR="002F4049" w:rsidRPr="004A30E9">
        <w:rPr>
          <w:rFonts w:cs="Arial"/>
        </w:rPr>
        <w:t xml:space="preserve"> um novo subcrédito na relação entre o BNDES e a Instituição Financeira Credenciada, para o qual será transferido o saldo da respectiva operação</w:t>
      </w:r>
      <w:r w:rsidRPr="004A30E9">
        <w:rPr>
          <w:rFonts w:cs="Arial"/>
        </w:rPr>
        <w:t>;</w:t>
      </w:r>
    </w:p>
    <w:p w14:paraId="5F113C4A" w14:textId="77777777" w:rsidR="005D2DE0" w:rsidRPr="00161897" w:rsidRDefault="005D2DE0" w:rsidP="000C7B81">
      <w:pPr>
        <w:pStyle w:val="BNDES"/>
        <w:numPr>
          <w:ilvl w:val="1"/>
          <w:numId w:val="5"/>
        </w:numPr>
        <w:tabs>
          <w:tab w:val="left" w:pos="1985"/>
        </w:tabs>
        <w:spacing w:before="120" w:after="120"/>
        <w:ind w:left="1985" w:hanging="567"/>
        <w:rPr>
          <w:rFonts w:cs="Arial"/>
        </w:rPr>
      </w:pPr>
      <w:r w:rsidRPr="00161897">
        <w:rPr>
          <w:rFonts w:cs="Arial"/>
        </w:rPr>
        <w:t xml:space="preserve">Caso </w:t>
      </w:r>
      <w:r w:rsidR="002F4049" w:rsidRPr="00161897">
        <w:rPr>
          <w:rFonts w:cs="Arial"/>
        </w:rPr>
        <w:t xml:space="preserve">a Instituição Financeira Credenciada já tenha pago ao BNDES a primeira parcela de </w:t>
      </w:r>
      <w:r w:rsidR="00883A80" w:rsidRPr="00161897">
        <w:rPr>
          <w:rFonts w:cs="Arial"/>
        </w:rPr>
        <w:t>principal</w:t>
      </w:r>
      <w:r w:rsidR="002F4049" w:rsidRPr="00161897">
        <w:rPr>
          <w:rFonts w:cs="Arial"/>
        </w:rPr>
        <w:t xml:space="preserve"> renegociada, conforme previsto no item 4, será transferido para o novo subcrédito, de que trata o item 3, o saldo da operação já deduzido o valor da referida parcela paga</w:t>
      </w:r>
      <w:r w:rsidRPr="00161897">
        <w:rPr>
          <w:rFonts w:cs="Arial"/>
        </w:rPr>
        <w:t>.</w:t>
      </w:r>
    </w:p>
    <w:p w14:paraId="3342BA53" w14:textId="77777777" w:rsidR="00660CEA" w:rsidRPr="00161897" w:rsidRDefault="00AF4753" w:rsidP="00114067">
      <w:pPr>
        <w:pStyle w:val="BNDES"/>
        <w:numPr>
          <w:ilvl w:val="0"/>
          <w:numId w:val="5"/>
        </w:numPr>
        <w:spacing w:before="120" w:after="120"/>
        <w:ind w:left="1418" w:hanging="567"/>
        <w:rPr>
          <w:rFonts w:cs="Arial"/>
        </w:rPr>
      </w:pPr>
      <w:r w:rsidRPr="00161897">
        <w:rPr>
          <w:rFonts w:cs="Arial"/>
        </w:rPr>
        <w:t xml:space="preserve">Em relação à </w:t>
      </w:r>
      <w:r w:rsidR="00660CEA" w:rsidRPr="00161897">
        <w:rPr>
          <w:rFonts w:cs="Arial"/>
        </w:rPr>
        <w:t xml:space="preserve">primeira </w:t>
      </w:r>
      <w:r w:rsidRPr="00161897">
        <w:rPr>
          <w:rFonts w:cs="Arial"/>
        </w:rPr>
        <w:t xml:space="preserve">parcela renegociada, </w:t>
      </w:r>
      <w:r w:rsidR="00660CEA" w:rsidRPr="00161897">
        <w:rPr>
          <w:rFonts w:cs="Arial"/>
        </w:rPr>
        <w:t xml:space="preserve">caso a mesma </w:t>
      </w:r>
      <w:r w:rsidRPr="00161897">
        <w:rPr>
          <w:rFonts w:cs="Arial"/>
        </w:rPr>
        <w:t xml:space="preserve">não </w:t>
      </w:r>
      <w:r w:rsidR="00660CEA" w:rsidRPr="00161897">
        <w:rPr>
          <w:rFonts w:cs="Arial"/>
        </w:rPr>
        <w:t xml:space="preserve">tenha sido </w:t>
      </w:r>
      <w:r w:rsidRPr="00161897">
        <w:rPr>
          <w:rFonts w:cs="Arial"/>
        </w:rPr>
        <w:t>paga pela Beneficiária Final</w:t>
      </w:r>
      <w:r w:rsidR="00660CEA" w:rsidRPr="00161897">
        <w:rPr>
          <w:rFonts w:cs="Arial"/>
        </w:rPr>
        <w:t>, mas já tenha sido</w:t>
      </w:r>
      <w:r w:rsidRPr="00161897">
        <w:rPr>
          <w:rFonts w:cs="Arial"/>
        </w:rPr>
        <w:t xml:space="preserve"> paga </w:t>
      </w:r>
      <w:r w:rsidR="005D2DE0" w:rsidRPr="00161897">
        <w:rPr>
          <w:rFonts w:cs="Arial"/>
        </w:rPr>
        <w:t>pela Instituição Financeira Credenciada</w:t>
      </w:r>
      <w:r w:rsidRPr="00161897">
        <w:rPr>
          <w:rFonts w:cs="Arial"/>
        </w:rPr>
        <w:t xml:space="preserve"> ao BNDES, o valor </w:t>
      </w:r>
      <w:r w:rsidR="005D2DE0" w:rsidRPr="00161897">
        <w:rPr>
          <w:rFonts w:cs="Arial"/>
        </w:rPr>
        <w:t>de principal</w:t>
      </w:r>
      <w:r w:rsidR="00660CEA" w:rsidRPr="00161897">
        <w:rPr>
          <w:rFonts w:cs="Arial"/>
        </w:rPr>
        <w:t xml:space="preserve"> dessa parcela</w:t>
      </w:r>
      <w:r w:rsidR="005D2DE0" w:rsidRPr="00161897">
        <w:rPr>
          <w:rFonts w:cs="Arial"/>
        </w:rPr>
        <w:t xml:space="preserve"> </w:t>
      </w:r>
      <w:r w:rsidRPr="00161897">
        <w:rPr>
          <w:rFonts w:cs="Arial"/>
        </w:rPr>
        <w:t>ser</w:t>
      </w:r>
      <w:r w:rsidR="00660CEA" w:rsidRPr="00161897">
        <w:rPr>
          <w:rFonts w:cs="Arial"/>
        </w:rPr>
        <w:t>á</w:t>
      </w:r>
      <w:r w:rsidRPr="00161897">
        <w:rPr>
          <w:rFonts w:cs="Arial"/>
        </w:rPr>
        <w:t xml:space="preserve"> devolvido </w:t>
      </w:r>
      <w:r w:rsidR="005D2DE0" w:rsidRPr="00161897">
        <w:rPr>
          <w:rFonts w:cs="Arial"/>
        </w:rPr>
        <w:t>e incorporado pelo seu valor histórico ao saldo da operação na data da efetiva devolução à Instituição Financeira Credenciada</w:t>
      </w:r>
      <w:r w:rsidR="005F2040" w:rsidRPr="00161897">
        <w:rPr>
          <w:rFonts w:cs="Arial"/>
        </w:rPr>
        <w:t xml:space="preserve">, </w:t>
      </w:r>
      <w:r w:rsidR="00883A80" w:rsidRPr="00161897">
        <w:rPr>
          <w:rFonts w:cs="Arial"/>
        </w:rPr>
        <w:t>sendo</w:t>
      </w:r>
      <w:r w:rsidR="005F2040" w:rsidRPr="00161897">
        <w:rPr>
          <w:rFonts w:cs="Arial"/>
        </w:rPr>
        <w:t xml:space="preserve"> incorporado</w:t>
      </w:r>
      <w:r w:rsidR="00660CEA" w:rsidRPr="00161897">
        <w:rPr>
          <w:rFonts w:cs="Arial"/>
        </w:rPr>
        <w:t>:</w:t>
      </w:r>
    </w:p>
    <w:p w14:paraId="21F2DB05" w14:textId="77777777" w:rsidR="00660CEA" w:rsidRPr="00161897" w:rsidRDefault="00660CEA" w:rsidP="000C7B81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161897">
        <w:rPr>
          <w:rFonts w:cs="Arial"/>
        </w:rPr>
        <w:t xml:space="preserve">ao saldo do novo subcrédito, </w:t>
      </w:r>
      <w:r w:rsidR="001C79FD">
        <w:rPr>
          <w:rFonts w:cs="Arial"/>
        </w:rPr>
        <w:t xml:space="preserve">na hipótese </w:t>
      </w:r>
      <w:r w:rsidRPr="00161897">
        <w:rPr>
          <w:rFonts w:cs="Arial"/>
        </w:rPr>
        <w:t>de que trata o item 3; ou</w:t>
      </w:r>
    </w:p>
    <w:p w14:paraId="7CC912A0" w14:textId="77777777" w:rsidR="00AF4753" w:rsidRPr="00161897" w:rsidRDefault="00660CEA" w:rsidP="000C7B81">
      <w:pPr>
        <w:pStyle w:val="BNDES"/>
        <w:numPr>
          <w:ilvl w:val="1"/>
          <w:numId w:val="5"/>
        </w:numPr>
        <w:spacing w:before="120" w:after="120"/>
        <w:ind w:left="1985" w:hanging="567"/>
        <w:rPr>
          <w:rFonts w:cs="Arial"/>
        </w:rPr>
      </w:pPr>
      <w:r w:rsidRPr="00161897">
        <w:rPr>
          <w:rFonts w:cs="Arial"/>
        </w:rPr>
        <w:t xml:space="preserve">ao saldo </w:t>
      </w:r>
      <w:r w:rsidR="00822C4E" w:rsidRPr="00161897">
        <w:rPr>
          <w:rFonts w:cs="Arial"/>
        </w:rPr>
        <w:t>do subcrédito vigente</w:t>
      </w:r>
      <w:r w:rsidRPr="00161897">
        <w:rPr>
          <w:rFonts w:cs="Arial"/>
        </w:rPr>
        <w:t>, no</w:t>
      </w:r>
      <w:r w:rsidR="001C79FD">
        <w:rPr>
          <w:rFonts w:cs="Arial"/>
        </w:rPr>
        <w:t>s demais</w:t>
      </w:r>
      <w:r w:rsidRPr="00161897">
        <w:rPr>
          <w:rFonts w:cs="Arial"/>
        </w:rPr>
        <w:t xml:space="preserve"> caso</w:t>
      </w:r>
      <w:r w:rsidR="001C79FD">
        <w:rPr>
          <w:rFonts w:cs="Arial"/>
        </w:rPr>
        <w:t>s</w:t>
      </w:r>
      <w:r w:rsidR="00822C4E" w:rsidRPr="00161897">
        <w:rPr>
          <w:rFonts w:cs="Arial"/>
        </w:rPr>
        <w:t>.</w:t>
      </w:r>
    </w:p>
    <w:p w14:paraId="48DC6CBA" w14:textId="77777777" w:rsidR="00AF4753" w:rsidRPr="00F75531" w:rsidRDefault="00CD65CF" w:rsidP="00114067">
      <w:pPr>
        <w:pStyle w:val="BNDES"/>
        <w:numPr>
          <w:ilvl w:val="0"/>
          <w:numId w:val="5"/>
        </w:numPr>
        <w:tabs>
          <w:tab w:val="num" w:pos="993"/>
        </w:tabs>
        <w:spacing w:before="120" w:after="120"/>
        <w:ind w:left="1418" w:hanging="567"/>
        <w:rPr>
          <w:rFonts w:cs="Arial"/>
        </w:rPr>
      </w:pPr>
      <w:r w:rsidRPr="002360D2">
        <w:rPr>
          <w:rFonts w:cs="Arial"/>
        </w:rPr>
        <w:t>As Instituições Financeiras Credenciadas</w:t>
      </w:r>
      <w:r w:rsidR="00AF4753" w:rsidRPr="00957232">
        <w:rPr>
          <w:rFonts w:cs="Arial"/>
        </w:rPr>
        <w:t xml:space="preserve"> ficam autorizad</w:t>
      </w:r>
      <w:r w:rsidRPr="00957232">
        <w:rPr>
          <w:rFonts w:cs="Arial"/>
        </w:rPr>
        <w:t>a</w:t>
      </w:r>
      <w:r w:rsidR="00AF4753" w:rsidRPr="00837E27">
        <w:rPr>
          <w:rFonts w:cs="Arial"/>
        </w:rPr>
        <w:t xml:space="preserve">s a solicitar garantias adicionais, </w:t>
      </w:r>
      <w:r w:rsidR="00AF4753" w:rsidRPr="00FB7D1F">
        <w:rPr>
          <w:rFonts w:cs="Arial"/>
        </w:rPr>
        <w:t xml:space="preserve">entre as usuais do crédito rural, quando da </w:t>
      </w:r>
      <w:r w:rsidR="004A4C4A" w:rsidRPr="00F7730D">
        <w:rPr>
          <w:rFonts w:cs="Arial"/>
        </w:rPr>
        <w:t>renegociação</w:t>
      </w:r>
      <w:r w:rsidR="00AF4753" w:rsidRPr="00F7730D">
        <w:rPr>
          <w:rFonts w:cs="Arial"/>
        </w:rPr>
        <w:t>, observadas as norma</w:t>
      </w:r>
      <w:r w:rsidR="00257584" w:rsidRPr="00DD6533">
        <w:rPr>
          <w:rFonts w:cs="Arial"/>
        </w:rPr>
        <w:t>s específicas de cada Programa.</w:t>
      </w:r>
    </w:p>
    <w:p w14:paraId="4B43E4ED" w14:textId="77777777" w:rsidR="00AF4753" w:rsidRPr="00161897" w:rsidRDefault="006E1374" w:rsidP="00114067">
      <w:pPr>
        <w:pStyle w:val="BNDES"/>
        <w:numPr>
          <w:ilvl w:val="0"/>
          <w:numId w:val="5"/>
        </w:numPr>
        <w:tabs>
          <w:tab w:val="num" w:pos="993"/>
        </w:tabs>
        <w:spacing w:before="120" w:after="120"/>
        <w:ind w:left="1418" w:hanging="567"/>
      </w:pPr>
      <w:r w:rsidRPr="00161897">
        <w:t>A Instituição Financeira Credenciada</w:t>
      </w:r>
      <w:r w:rsidR="00AF4753" w:rsidRPr="00161897">
        <w:t xml:space="preserve"> será responsável pela análise e enquadramento nas condições ora estabelecidas, devendo, sem </w:t>
      </w:r>
      <w:r w:rsidR="00AF4753" w:rsidRPr="00161897">
        <w:lastRenderedPageBreak/>
        <w:t>prejuízo de exigências específicas de cada Programa, manter arquivados no dossiê da operação os documentos comprobatórios pertinentes, dentre os quais:</w:t>
      </w:r>
    </w:p>
    <w:p w14:paraId="06B22B46" w14:textId="77777777" w:rsidR="00AF4753" w:rsidRPr="00161897" w:rsidRDefault="00AF4753" w:rsidP="00484A31">
      <w:pPr>
        <w:pStyle w:val="BNDES"/>
        <w:numPr>
          <w:ilvl w:val="1"/>
          <w:numId w:val="5"/>
        </w:numPr>
        <w:tabs>
          <w:tab w:val="left" w:pos="1985"/>
        </w:tabs>
        <w:spacing w:before="120" w:after="120"/>
        <w:ind w:left="1985" w:hanging="567"/>
        <w:rPr>
          <w:rFonts w:cs="Arial"/>
        </w:rPr>
      </w:pPr>
      <w:r w:rsidRPr="00161897">
        <w:rPr>
          <w:rFonts w:cs="Arial"/>
        </w:rPr>
        <w:t xml:space="preserve">instrumento jurídico que formalizou a </w:t>
      </w:r>
      <w:r w:rsidR="004A4C4A" w:rsidRPr="00161897">
        <w:rPr>
          <w:rFonts w:cs="Arial"/>
        </w:rPr>
        <w:t>renegociação</w:t>
      </w:r>
      <w:r w:rsidR="00442D14" w:rsidRPr="00161897">
        <w:rPr>
          <w:rFonts w:cs="Arial"/>
        </w:rPr>
        <w:t>; e</w:t>
      </w:r>
    </w:p>
    <w:p w14:paraId="7C32C15E" w14:textId="77777777" w:rsidR="00AF4753" w:rsidRPr="00161897" w:rsidRDefault="00AF4753" w:rsidP="00484A31">
      <w:pPr>
        <w:pStyle w:val="BNDES"/>
        <w:numPr>
          <w:ilvl w:val="1"/>
          <w:numId w:val="5"/>
        </w:numPr>
        <w:tabs>
          <w:tab w:val="left" w:pos="1985"/>
        </w:tabs>
        <w:spacing w:before="120" w:after="120"/>
        <w:ind w:left="1985" w:hanging="567"/>
        <w:rPr>
          <w:rFonts w:cs="Arial"/>
        </w:rPr>
      </w:pPr>
      <w:r w:rsidRPr="00161897">
        <w:rPr>
          <w:rFonts w:cs="Arial"/>
          <w:szCs w:val="24"/>
        </w:rPr>
        <w:t>documentos apresentados pela Beneficiária Final para comprovação do fato gerador da incapacidade de pagamento, sua intensidade</w:t>
      </w:r>
      <w:r w:rsidR="00484A31" w:rsidRPr="00161897">
        <w:rPr>
          <w:rFonts w:cs="Arial"/>
          <w:szCs w:val="24"/>
        </w:rPr>
        <w:t xml:space="preserve">, </w:t>
      </w:r>
      <w:r w:rsidRPr="00161897">
        <w:rPr>
          <w:rFonts w:cs="Arial"/>
          <w:szCs w:val="24"/>
        </w:rPr>
        <w:t>o percentual de redução de renda provocado</w:t>
      </w:r>
      <w:r w:rsidR="00484A31" w:rsidRPr="00161897">
        <w:rPr>
          <w:rFonts w:cs="Arial"/>
          <w:szCs w:val="24"/>
        </w:rPr>
        <w:t xml:space="preserve"> </w:t>
      </w:r>
      <w:r w:rsidR="00484A31" w:rsidRPr="00161897">
        <w:rPr>
          <w:rFonts w:cs="Arial"/>
        </w:rPr>
        <w:t>e o tempo estimado como necessário para que a renda retorne ao patamar previsto no projeto de crédito</w:t>
      </w:r>
      <w:r w:rsidRPr="00161897">
        <w:rPr>
          <w:rFonts w:cs="Arial"/>
          <w:szCs w:val="24"/>
        </w:rPr>
        <w:t>.</w:t>
      </w:r>
    </w:p>
    <w:p w14:paraId="4231220B" w14:textId="0E93676B" w:rsidR="00AF4753" w:rsidRPr="002A099F" w:rsidRDefault="00AF4753" w:rsidP="00114067">
      <w:pPr>
        <w:pStyle w:val="BNDES"/>
        <w:numPr>
          <w:ilvl w:val="0"/>
          <w:numId w:val="5"/>
        </w:numPr>
        <w:tabs>
          <w:tab w:val="num" w:pos="993"/>
        </w:tabs>
        <w:spacing w:before="120" w:after="120"/>
        <w:ind w:left="1418" w:hanging="567"/>
        <w:rPr>
          <w:rFonts w:cs="Arial"/>
        </w:rPr>
      </w:pPr>
      <w:r w:rsidRPr="00FA34AF">
        <w:rPr>
          <w:rFonts w:cs="Arial"/>
          <w:strike/>
        </w:rPr>
        <w:t>O descumprimento de qua</w:t>
      </w:r>
      <w:r w:rsidR="00A4635D" w:rsidRPr="00FA34AF">
        <w:rPr>
          <w:rFonts w:cs="Arial"/>
          <w:strike/>
        </w:rPr>
        <w:t>l</w:t>
      </w:r>
      <w:r w:rsidRPr="00FA34AF">
        <w:rPr>
          <w:rFonts w:cs="Arial"/>
          <w:strike/>
        </w:rPr>
        <w:t>quer disposiç</w:t>
      </w:r>
      <w:r w:rsidR="00A4635D" w:rsidRPr="00FA34AF">
        <w:rPr>
          <w:rFonts w:cs="Arial"/>
          <w:strike/>
        </w:rPr>
        <w:t>ão</w:t>
      </w:r>
      <w:r w:rsidRPr="00FA34AF">
        <w:rPr>
          <w:rFonts w:cs="Arial"/>
          <w:strike/>
        </w:rPr>
        <w:t xml:space="preserve"> desta Circular </w:t>
      </w:r>
      <w:r w:rsidR="001551FB" w:rsidRPr="00FA34AF">
        <w:rPr>
          <w:rFonts w:cs="Arial"/>
          <w:strike/>
        </w:rPr>
        <w:t xml:space="preserve">poderá </w:t>
      </w:r>
      <w:r w:rsidRPr="00FA34AF">
        <w:rPr>
          <w:rFonts w:cs="Arial"/>
          <w:strike/>
        </w:rPr>
        <w:t xml:space="preserve">implicar </w:t>
      </w:r>
      <w:r w:rsidR="001551FB" w:rsidRPr="00FA34AF">
        <w:rPr>
          <w:rFonts w:cs="Arial"/>
          <w:strike/>
        </w:rPr>
        <w:t xml:space="preserve">a </w:t>
      </w:r>
      <w:r w:rsidRPr="00FA34AF">
        <w:rPr>
          <w:rFonts w:cs="Arial"/>
          <w:strike/>
        </w:rPr>
        <w:t xml:space="preserve">aplicação das sanções previstas </w:t>
      </w:r>
      <w:r w:rsidR="00CA30F1" w:rsidRPr="00FA34AF">
        <w:rPr>
          <w:rFonts w:cs="Arial"/>
          <w:strike/>
        </w:rPr>
        <w:t>na Circular que trata das “Normas sobre Inadimplemento Não Financeiro”</w:t>
      </w:r>
      <w:r w:rsidR="00FA34AF" w:rsidRPr="00FA34AF">
        <w:t xml:space="preserve"> </w:t>
      </w:r>
      <w:r w:rsidR="00FA34AF" w:rsidRPr="00FA34AF">
        <w:rPr>
          <w:rFonts w:cs="Arial"/>
        </w:rPr>
        <w:t>No caso de descumprimento das disposições desta Circular, a Instituição Financeira Credenciada estará sujeita à aplicação das penalidades previstas no Anexo V (“Normas de Inadimplemento Não-Financeiro”) à Circular de Orientações Básicas e Procedimentos Operacionais</w:t>
      </w:r>
      <w:r w:rsidRPr="002A099F">
        <w:rPr>
          <w:rFonts w:cs="Arial"/>
        </w:rPr>
        <w:t>, tais como o vencimento antecipado das operações e aplicação de pena convencional.</w:t>
      </w:r>
      <w:r w:rsidR="00FA34AF">
        <w:rPr>
          <w:rFonts w:cs="Arial"/>
        </w:rPr>
        <w:t xml:space="preserve"> </w:t>
      </w:r>
      <w:r w:rsidR="00FA34AF">
        <w:rPr>
          <w:rFonts w:cs="Arial"/>
          <w:b/>
          <w:i/>
          <w:color w:val="000099"/>
          <w:sz w:val="20"/>
        </w:rPr>
        <w:t>(Alterado pela Circular SUP/ADIG n° 48/2023-BNDES, de 30.08.2023)</w:t>
      </w:r>
    </w:p>
    <w:p w14:paraId="71F3D33D" w14:textId="207BA2FF" w:rsidR="00C62FBF" w:rsidRPr="00161897" w:rsidRDefault="00C62FBF" w:rsidP="00114067">
      <w:pPr>
        <w:pStyle w:val="BNDES"/>
        <w:numPr>
          <w:ilvl w:val="0"/>
          <w:numId w:val="5"/>
        </w:numPr>
        <w:tabs>
          <w:tab w:val="num" w:pos="993"/>
        </w:tabs>
        <w:spacing w:before="120" w:after="120"/>
        <w:ind w:left="1418" w:hanging="567"/>
      </w:pPr>
      <w:r w:rsidRPr="004E5EE9">
        <w:rPr>
          <w:rFonts w:cs="Arial"/>
          <w:color w:val="000000"/>
          <w:szCs w:val="24"/>
        </w:rPr>
        <w:t>As normas relativas ao</w:t>
      </w:r>
      <w:r w:rsidR="00EB2288" w:rsidRPr="00F46BF0">
        <w:rPr>
          <w:rFonts w:cs="Arial"/>
          <w:color w:val="000000"/>
          <w:szCs w:val="24"/>
        </w:rPr>
        <w:t>s</w:t>
      </w:r>
      <w:r w:rsidRPr="00881F8C">
        <w:rPr>
          <w:rFonts w:cs="Arial"/>
          <w:color w:val="000000"/>
          <w:szCs w:val="24"/>
        </w:rPr>
        <w:t xml:space="preserve"> procedimento</w:t>
      </w:r>
      <w:r w:rsidR="00EB2288" w:rsidRPr="00C36F45">
        <w:rPr>
          <w:rFonts w:cs="Arial"/>
          <w:color w:val="000000"/>
          <w:szCs w:val="24"/>
        </w:rPr>
        <w:t>s</w:t>
      </w:r>
      <w:r w:rsidR="005D1F3D" w:rsidRPr="00EF2C09">
        <w:rPr>
          <w:rFonts w:cs="Arial"/>
          <w:color w:val="000000"/>
          <w:szCs w:val="24"/>
        </w:rPr>
        <w:t xml:space="preserve"> e prazos</w:t>
      </w:r>
      <w:r w:rsidRPr="007C1CFC">
        <w:rPr>
          <w:rFonts w:cs="Arial"/>
          <w:color w:val="000000"/>
          <w:szCs w:val="24"/>
        </w:rPr>
        <w:t xml:space="preserve"> de </w:t>
      </w:r>
      <w:r w:rsidRPr="00FA34AF">
        <w:rPr>
          <w:rFonts w:cs="Arial"/>
          <w:strike/>
          <w:color w:val="000000"/>
          <w:szCs w:val="24"/>
        </w:rPr>
        <w:t>encaminhamento ao</w:t>
      </w:r>
      <w:r w:rsidRPr="00DC1917">
        <w:rPr>
          <w:rFonts w:cs="Arial"/>
          <w:color w:val="000000"/>
          <w:szCs w:val="24"/>
        </w:rPr>
        <w:t xml:space="preserve"> </w:t>
      </w:r>
      <w:r w:rsidR="00FA34AF">
        <w:rPr>
          <w:rFonts w:cs="Arial"/>
          <w:color w:val="000000"/>
          <w:szCs w:val="24"/>
        </w:rPr>
        <w:t xml:space="preserve">protocolo no </w:t>
      </w:r>
      <w:r w:rsidRPr="00DC1917">
        <w:rPr>
          <w:rFonts w:cs="Arial"/>
          <w:color w:val="000000"/>
          <w:szCs w:val="24"/>
        </w:rPr>
        <w:t>BNDES dos pedidos de renegociação ora tratados</w:t>
      </w:r>
      <w:r w:rsidR="00AA49A9">
        <w:rPr>
          <w:rFonts w:cs="Arial"/>
          <w:color w:val="000000"/>
          <w:szCs w:val="24"/>
        </w:rPr>
        <w:t>,</w:t>
      </w:r>
      <w:r w:rsidRPr="00DC1917">
        <w:rPr>
          <w:rFonts w:cs="Arial"/>
          <w:color w:val="000000"/>
          <w:szCs w:val="24"/>
        </w:rPr>
        <w:t xml:space="preserve"> encontram-se </w:t>
      </w:r>
      <w:r w:rsidRPr="00297A2F">
        <w:rPr>
          <w:rFonts w:cs="Arial"/>
          <w:color w:val="000000"/>
          <w:szCs w:val="24"/>
        </w:rPr>
        <w:t xml:space="preserve">disciplinadas na </w:t>
      </w:r>
      <w:r w:rsidRPr="00FA34AF">
        <w:rPr>
          <w:rFonts w:cs="Arial"/>
          <w:strike/>
          <w:color w:val="000000"/>
          <w:szCs w:val="24"/>
        </w:rPr>
        <w:t>CIRCULAR SUP/</w:t>
      </w:r>
      <w:r w:rsidR="00FF74E7" w:rsidRPr="00FA34AF">
        <w:rPr>
          <w:rFonts w:cs="Arial"/>
          <w:strike/>
          <w:color w:val="000000"/>
          <w:szCs w:val="24"/>
        </w:rPr>
        <w:t>ADIG</w:t>
      </w:r>
      <w:r w:rsidR="00484A31" w:rsidRPr="00FA34AF">
        <w:rPr>
          <w:rFonts w:cs="Arial"/>
          <w:strike/>
          <w:color w:val="000000"/>
          <w:szCs w:val="24"/>
        </w:rPr>
        <w:t xml:space="preserve"> </w:t>
      </w:r>
      <w:r w:rsidRPr="00FA34AF">
        <w:rPr>
          <w:rFonts w:cs="Arial"/>
          <w:strike/>
          <w:color w:val="000000"/>
          <w:szCs w:val="24"/>
        </w:rPr>
        <w:t xml:space="preserve">Nº </w:t>
      </w:r>
      <w:r w:rsidR="00297A2F" w:rsidRPr="00FA34AF">
        <w:rPr>
          <w:rFonts w:cs="Arial"/>
          <w:strike/>
          <w:color w:val="000000"/>
          <w:szCs w:val="24"/>
        </w:rPr>
        <w:t>50</w:t>
      </w:r>
      <w:r w:rsidRPr="00FA34AF">
        <w:rPr>
          <w:rFonts w:cs="Arial"/>
          <w:strike/>
          <w:color w:val="000000"/>
          <w:szCs w:val="24"/>
        </w:rPr>
        <w:t>/20</w:t>
      </w:r>
      <w:r w:rsidR="00391E90" w:rsidRPr="00FA34AF">
        <w:rPr>
          <w:rFonts w:cs="Arial"/>
          <w:strike/>
          <w:color w:val="000000"/>
          <w:szCs w:val="24"/>
        </w:rPr>
        <w:t>21</w:t>
      </w:r>
      <w:r w:rsidRPr="00FA34AF">
        <w:rPr>
          <w:rFonts w:cs="Arial"/>
          <w:strike/>
          <w:color w:val="000000"/>
          <w:szCs w:val="24"/>
        </w:rPr>
        <w:t xml:space="preserve">-BNDES, de </w:t>
      </w:r>
      <w:r w:rsidR="00A60DE8" w:rsidRPr="00FA34AF">
        <w:rPr>
          <w:rFonts w:cs="Arial"/>
          <w:strike/>
          <w:color w:val="000000"/>
          <w:szCs w:val="24"/>
        </w:rPr>
        <w:t>18</w:t>
      </w:r>
      <w:r w:rsidR="00297A2F" w:rsidRPr="00FA34AF">
        <w:rPr>
          <w:rFonts w:cs="Arial"/>
          <w:strike/>
          <w:color w:val="000000"/>
          <w:szCs w:val="24"/>
        </w:rPr>
        <w:t>.11</w:t>
      </w:r>
      <w:r w:rsidR="00391E90" w:rsidRPr="00FA34AF">
        <w:rPr>
          <w:rFonts w:cs="Arial"/>
          <w:strike/>
          <w:color w:val="000000"/>
          <w:szCs w:val="24"/>
        </w:rPr>
        <w:t>.2021</w:t>
      </w:r>
      <w:r w:rsidR="00FA34AF" w:rsidRPr="00FA34AF">
        <w:rPr>
          <w:rFonts w:cs="Arial"/>
          <w:color w:val="000000"/>
          <w:szCs w:val="24"/>
        </w:rPr>
        <w:t xml:space="preserve"> </w:t>
      </w:r>
      <w:r w:rsidR="00FA34AF" w:rsidRPr="00A64B40">
        <w:rPr>
          <w:rFonts w:cs="Arial"/>
          <w:strike/>
          <w:color w:val="000000"/>
          <w:szCs w:val="24"/>
        </w:rPr>
        <w:t>CIRCULAR SUP/ADIG Nº 49/2023-BNDES, de 30.08.2023</w:t>
      </w:r>
      <w:r w:rsidR="00A64B40">
        <w:rPr>
          <w:rFonts w:cs="Arial"/>
          <w:color w:val="000000"/>
          <w:szCs w:val="24"/>
        </w:rPr>
        <w:t xml:space="preserve"> </w:t>
      </w:r>
      <w:r w:rsidR="00A64B40" w:rsidRPr="00A64B40">
        <w:rPr>
          <w:rFonts w:cs="Arial"/>
          <w:color w:val="000000"/>
          <w:szCs w:val="24"/>
        </w:rPr>
        <w:t xml:space="preserve">CIRCULAR SUP/ADIG Nº </w:t>
      </w:r>
      <w:r w:rsidR="00A64B40">
        <w:rPr>
          <w:rFonts w:cs="Arial"/>
          <w:color w:val="000000"/>
          <w:szCs w:val="24"/>
        </w:rPr>
        <w:t>15</w:t>
      </w:r>
      <w:r w:rsidR="00A64B40" w:rsidRPr="00A64B40">
        <w:rPr>
          <w:rFonts w:cs="Arial"/>
          <w:color w:val="000000"/>
          <w:szCs w:val="24"/>
        </w:rPr>
        <w:t>/202</w:t>
      </w:r>
      <w:r w:rsidR="00A64B40">
        <w:rPr>
          <w:rFonts w:cs="Arial"/>
          <w:color w:val="000000"/>
          <w:szCs w:val="24"/>
        </w:rPr>
        <w:t>5</w:t>
      </w:r>
      <w:r w:rsidR="00A64B40" w:rsidRPr="00A64B40">
        <w:rPr>
          <w:rFonts w:cs="Arial"/>
          <w:color w:val="000000"/>
          <w:szCs w:val="24"/>
        </w:rPr>
        <w:t xml:space="preserve">-BNDES, de </w:t>
      </w:r>
      <w:r w:rsidR="00A64B40">
        <w:rPr>
          <w:rFonts w:cs="Arial"/>
          <w:color w:val="000000"/>
          <w:szCs w:val="24"/>
        </w:rPr>
        <w:t>25</w:t>
      </w:r>
      <w:r w:rsidR="00A64B40" w:rsidRPr="00A64B40">
        <w:rPr>
          <w:rFonts w:cs="Arial"/>
          <w:color w:val="000000"/>
          <w:szCs w:val="24"/>
        </w:rPr>
        <w:t>.0</w:t>
      </w:r>
      <w:r w:rsidR="00A64B40">
        <w:rPr>
          <w:rFonts w:cs="Arial"/>
          <w:color w:val="000000"/>
          <w:szCs w:val="24"/>
        </w:rPr>
        <w:t>2</w:t>
      </w:r>
      <w:r w:rsidR="00A64B40" w:rsidRPr="00A64B40">
        <w:rPr>
          <w:rFonts w:cs="Arial"/>
          <w:color w:val="000000"/>
          <w:szCs w:val="24"/>
        </w:rPr>
        <w:t>.202</w:t>
      </w:r>
      <w:r w:rsidR="00A64B40">
        <w:rPr>
          <w:rFonts w:cs="Arial"/>
          <w:color w:val="000000"/>
          <w:szCs w:val="24"/>
        </w:rPr>
        <w:t>5</w:t>
      </w:r>
      <w:r w:rsidR="00A01F6E" w:rsidRPr="00297A2F">
        <w:rPr>
          <w:rFonts w:cs="Arial"/>
          <w:color w:val="000000"/>
          <w:szCs w:val="24"/>
        </w:rPr>
        <w:t>, e alterações posteriores</w:t>
      </w:r>
      <w:r w:rsidR="00484A31" w:rsidRPr="00161897">
        <w:rPr>
          <w:rFonts w:cs="Arial"/>
          <w:color w:val="000000"/>
          <w:szCs w:val="24"/>
        </w:rPr>
        <w:t>.</w:t>
      </w:r>
      <w:r w:rsidR="00FA34AF">
        <w:rPr>
          <w:rFonts w:cs="Arial"/>
          <w:color w:val="000000"/>
          <w:szCs w:val="24"/>
        </w:rPr>
        <w:t xml:space="preserve"> </w:t>
      </w:r>
      <w:r w:rsidR="00FA34AF">
        <w:rPr>
          <w:rFonts w:cs="Arial"/>
          <w:b/>
          <w:i/>
          <w:color w:val="000099"/>
          <w:sz w:val="20"/>
        </w:rPr>
        <w:t>(Alterado pela</w:t>
      </w:r>
      <w:r w:rsidR="00A64B40">
        <w:rPr>
          <w:rFonts w:cs="Arial"/>
          <w:b/>
          <w:i/>
          <w:color w:val="000099"/>
          <w:sz w:val="20"/>
        </w:rPr>
        <w:t>s</w:t>
      </w:r>
      <w:r w:rsidR="00FA34AF">
        <w:rPr>
          <w:rFonts w:cs="Arial"/>
          <w:b/>
          <w:i/>
          <w:color w:val="000099"/>
          <w:sz w:val="20"/>
        </w:rPr>
        <w:t xml:space="preserve"> Circular</w:t>
      </w:r>
      <w:r w:rsidR="00A64B40">
        <w:rPr>
          <w:rFonts w:cs="Arial"/>
          <w:b/>
          <w:i/>
          <w:color w:val="000099"/>
          <w:sz w:val="20"/>
        </w:rPr>
        <w:t>es</w:t>
      </w:r>
      <w:r w:rsidR="00FA34AF">
        <w:rPr>
          <w:rFonts w:cs="Arial"/>
          <w:b/>
          <w:i/>
          <w:color w:val="000099"/>
          <w:sz w:val="20"/>
        </w:rPr>
        <w:t xml:space="preserve"> SUP/ADIG n° 48/2023-BNDES, de 30.08.2023</w:t>
      </w:r>
      <w:r w:rsidR="00A64B40">
        <w:rPr>
          <w:rFonts w:cs="Arial"/>
          <w:b/>
          <w:i/>
          <w:color w:val="000099"/>
          <w:sz w:val="20"/>
        </w:rPr>
        <w:t xml:space="preserve"> e SUP/ADIG n° 16/2025-BNDES, de 25.05.2025</w:t>
      </w:r>
      <w:r w:rsidR="00FA34AF">
        <w:rPr>
          <w:rFonts w:cs="Arial"/>
          <w:b/>
          <w:i/>
          <w:color w:val="000099"/>
          <w:sz w:val="20"/>
        </w:rPr>
        <w:t>)</w:t>
      </w:r>
    </w:p>
    <w:p w14:paraId="31FBC3CC" w14:textId="77777777" w:rsidR="00AF4753" w:rsidRPr="00161897" w:rsidRDefault="00B20D7E" w:rsidP="00114067">
      <w:pPr>
        <w:pStyle w:val="BNDES"/>
        <w:numPr>
          <w:ilvl w:val="0"/>
          <w:numId w:val="5"/>
        </w:numPr>
        <w:tabs>
          <w:tab w:val="num" w:pos="993"/>
        </w:tabs>
        <w:spacing w:before="120" w:after="120"/>
        <w:ind w:left="1418" w:hanging="567"/>
        <w:rPr>
          <w:rFonts w:cs="Arial"/>
        </w:rPr>
      </w:pPr>
      <w:r w:rsidRPr="00161897">
        <w:t xml:space="preserve">Em conformidade com o disposto no AVISO SEAGRI Nº 15/2011, de 15.09.2011, poderá ser exigido </w:t>
      </w:r>
      <w:r w:rsidR="00DD39CC" w:rsidRPr="00161897">
        <w:t>das Instituições Financeiras Credenciadas</w:t>
      </w:r>
      <w:r w:rsidRPr="00161897">
        <w:t xml:space="preserve"> </w:t>
      </w:r>
      <w:r w:rsidR="004012E8" w:rsidRPr="00161897">
        <w:t>p</w:t>
      </w:r>
      <w:r w:rsidRPr="00161897">
        <w:t xml:space="preserve">arecer de </w:t>
      </w:r>
      <w:r w:rsidR="004012E8" w:rsidRPr="00161897">
        <w:t>a</w:t>
      </w:r>
      <w:r w:rsidRPr="00161897">
        <w:t xml:space="preserve">uditor </w:t>
      </w:r>
      <w:r w:rsidR="004012E8" w:rsidRPr="00161897">
        <w:t>e</w:t>
      </w:r>
      <w:r w:rsidRPr="00161897">
        <w:t>xterno sobre o cumprimento das normas disciplinadas pela presente Circular</w:t>
      </w:r>
      <w:r w:rsidR="006F0C5D" w:rsidRPr="00161897">
        <w:t xml:space="preserve">, nos termos e condições </w:t>
      </w:r>
      <w:r w:rsidR="000F71E1">
        <w:t>oportunamente comunicado</w:t>
      </w:r>
      <w:r w:rsidR="006F0C5D" w:rsidRPr="00161897">
        <w:t xml:space="preserve">s pelo BNDES </w:t>
      </w:r>
      <w:r w:rsidR="00DD39CC" w:rsidRPr="00161897">
        <w:t>à Instituição Financeira Credenciada</w:t>
      </w:r>
      <w:r w:rsidR="00AF4753" w:rsidRPr="00161897">
        <w:t>.</w:t>
      </w:r>
    </w:p>
    <w:p w14:paraId="22932DAC" w14:textId="77777777" w:rsidR="00AF4753" w:rsidRPr="00161897" w:rsidRDefault="00AF4753" w:rsidP="00114067">
      <w:pPr>
        <w:pStyle w:val="BNDES"/>
        <w:numPr>
          <w:ilvl w:val="0"/>
          <w:numId w:val="5"/>
        </w:numPr>
        <w:tabs>
          <w:tab w:val="num" w:pos="993"/>
        </w:tabs>
        <w:spacing w:before="120" w:after="120"/>
        <w:ind w:left="1418" w:hanging="567"/>
        <w:rPr>
          <w:rFonts w:cs="Arial"/>
        </w:rPr>
      </w:pPr>
      <w:r w:rsidRPr="00161897">
        <w:t>Para fins de verificação do limite de 8% (oito por cento) estabelecido na presente</w:t>
      </w:r>
      <w:r w:rsidR="00DD39CC" w:rsidRPr="00161897">
        <w:t xml:space="preserve"> Circular</w:t>
      </w:r>
      <w:r w:rsidRPr="00161897">
        <w:t xml:space="preserve">, o BNDES poderá solicitar, a qualquer tempo, o envio de informações relativas às operações em curso </w:t>
      </w:r>
      <w:r w:rsidR="00DD39CC" w:rsidRPr="00161897">
        <w:t>nas Instituições Financeiras Credenciadas</w:t>
      </w:r>
      <w:r w:rsidRPr="00161897">
        <w:t>.</w:t>
      </w:r>
    </w:p>
    <w:p w14:paraId="034BDAAF" w14:textId="77777777" w:rsidR="00C62FBF" w:rsidRPr="00161897" w:rsidRDefault="00AF4753" w:rsidP="000C7B81">
      <w:pPr>
        <w:pStyle w:val="BNDES"/>
        <w:numPr>
          <w:ilvl w:val="0"/>
          <w:numId w:val="5"/>
        </w:numPr>
        <w:tabs>
          <w:tab w:val="clear" w:pos="142"/>
          <w:tab w:val="num" w:pos="1418"/>
        </w:tabs>
        <w:ind w:left="1418" w:hanging="567"/>
        <w:outlineLvl w:val="0"/>
      </w:pPr>
      <w:r w:rsidRPr="00161897">
        <w:rPr>
          <w:rFonts w:cs="Arial"/>
          <w:szCs w:val="24"/>
        </w:rPr>
        <w:t xml:space="preserve">Esta Circular entra em vigor </w:t>
      </w:r>
      <w:r w:rsidR="00297A2F">
        <w:rPr>
          <w:rFonts w:cs="Arial"/>
          <w:szCs w:val="24"/>
        </w:rPr>
        <w:t>em 01.01.2022</w:t>
      </w:r>
      <w:r w:rsidRPr="00161897">
        <w:rPr>
          <w:rFonts w:cs="Arial"/>
          <w:szCs w:val="24"/>
        </w:rPr>
        <w:t>, ficando revogada</w:t>
      </w:r>
      <w:r w:rsidR="00297A2F">
        <w:rPr>
          <w:rFonts w:cs="Arial"/>
          <w:szCs w:val="24"/>
        </w:rPr>
        <w:t>, nessa data,</w:t>
      </w:r>
      <w:r w:rsidRPr="00161897">
        <w:rPr>
          <w:rFonts w:cs="Arial"/>
          <w:szCs w:val="24"/>
        </w:rPr>
        <w:t xml:space="preserve"> a</w:t>
      </w:r>
      <w:r w:rsidR="00ED4351" w:rsidRPr="00161897">
        <w:t xml:space="preserve"> </w:t>
      </w:r>
      <w:r w:rsidR="00ED4351" w:rsidRPr="00161897">
        <w:rPr>
          <w:rFonts w:cs="Arial"/>
          <w:szCs w:val="24"/>
        </w:rPr>
        <w:t>CIRCULAR SUP/</w:t>
      </w:r>
      <w:r w:rsidR="002A04FF">
        <w:rPr>
          <w:rFonts w:cs="Arial"/>
          <w:szCs w:val="24"/>
        </w:rPr>
        <w:t>ADIG</w:t>
      </w:r>
      <w:r w:rsidR="00ED4351" w:rsidRPr="00161897">
        <w:rPr>
          <w:rFonts w:cs="Arial"/>
          <w:szCs w:val="24"/>
        </w:rPr>
        <w:t xml:space="preserve"> </w:t>
      </w:r>
      <w:r w:rsidR="00DA1C4E" w:rsidRPr="00161897">
        <w:rPr>
          <w:rFonts w:cs="Arial"/>
        </w:rPr>
        <w:t xml:space="preserve">Nº </w:t>
      </w:r>
      <w:r w:rsidR="003F4E86">
        <w:rPr>
          <w:rFonts w:cs="Arial"/>
        </w:rPr>
        <w:t>07</w:t>
      </w:r>
      <w:r w:rsidR="00DA1C4E" w:rsidRPr="00161897">
        <w:rPr>
          <w:rFonts w:cs="Arial"/>
        </w:rPr>
        <w:t>/</w:t>
      </w:r>
      <w:r w:rsidR="0042364E" w:rsidRPr="00161897">
        <w:rPr>
          <w:rFonts w:cs="Arial"/>
        </w:rPr>
        <w:t>201</w:t>
      </w:r>
      <w:r w:rsidR="003F4E86">
        <w:rPr>
          <w:rFonts w:cs="Arial"/>
        </w:rPr>
        <w:t>8</w:t>
      </w:r>
      <w:r w:rsidR="00DA1C4E" w:rsidRPr="00161897">
        <w:rPr>
          <w:rFonts w:cs="Arial"/>
        </w:rPr>
        <w:t xml:space="preserve">-BNDES, de </w:t>
      </w:r>
      <w:r w:rsidR="003F4E86">
        <w:rPr>
          <w:rFonts w:cs="Arial"/>
        </w:rPr>
        <w:t>30</w:t>
      </w:r>
      <w:r w:rsidR="00DA1C4E" w:rsidRPr="00161897">
        <w:rPr>
          <w:rFonts w:cs="Arial"/>
        </w:rPr>
        <w:t>.</w:t>
      </w:r>
      <w:r w:rsidR="003F4E86">
        <w:rPr>
          <w:rFonts w:cs="Arial"/>
        </w:rPr>
        <w:t>10.</w:t>
      </w:r>
      <w:r w:rsidR="003F4E86" w:rsidRPr="00161897">
        <w:rPr>
          <w:rFonts w:cs="Arial"/>
        </w:rPr>
        <w:t>20</w:t>
      </w:r>
      <w:r w:rsidR="003F4E86">
        <w:rPr>
          <w:rFonts w:cs="Arial"/>
        </w:rPr>
        <w:t>18</w:t>
      </w:r>
      <w:r w:rsidR="00E74467" w:rsidRPr="00161897">
        <w:rPr>
          <w:rFonts w:cs="Arial"/>
          <w:szCs w:val="24"/>
        </w:rPr>
        <w:t>, devendo ainda ser observado o disposto no item 8</w:t>
      </w:r>
      <w:r w:rsidR="00391E90">
        <w:rPr>
          <w:rFonts w:cs="Arial"/>
          <w:szCs w:val="24"/>
        </w:rPr>
        <w:t>.</w:t>
      </w:r>
    </w:p>
    <w:p w14:paraId="10110BB9" w14:textId="77777777" w:rsidR="00E74467" w:rsidRPr="00161897" w:rsidRDefault="00E74467" w:rsidP="000C7B81">
      <w:pPr>
        <w:pStyle w:val="BNDES"/>
        <w:ind w:left="1418"/>
        <w:outlineLvl w:val="0"/>
        <w:rPr>
          <w:rFonts w:cs="Arial"/>
          <w:szCs w:val="24"/>
        </w:rPr>
      </w:pPr>
    </w:p>
    <w:p w14:paraId="78FB68C2" w14:textId="77777777" w:rsidR="008A52EC" w:rsidRDefault="008A52EC" w:rsidP="00651AF3">
      <w:pPr>
        <w:pStyle w:val="BNDES"/>
        <w:ind w:left="1985"/>
        <w:outlineLvl w:val="0"/>
        <w:rPr>
          <w:rFonts w:cs="Arial"/>
          <w:szCs w:val="24"/>
        </w:rPr>
      </w:pPr>
    </w:p>
    <w:p w14:paraId="5FEEE64B" w14:textId="77777777" w:rsidR="00297A2F" w:rsidRPr="00161897" w:rsidRDefault="00297A2F" w:rsidP="00651AF3">
      <w:pPr>
        <w:pStyle w:val="BNDES"/>
        <w:ind w:left="1985"/>
        <w:outlineLvl w:val="0"/>
        <w:rPr>
          <w:rFonts w:cs="Arial"/>
          <w:szCs w:val="24"/>
        </w:rPr>
      </w:pPr>
    </w:p>
    <w:p w14:paraId="6B05A2FC" w14:textId="77777777" w:rsidR="00532D6D" w:rsidRPr="00161897" w:rsidRDefault="00532D6D" w:rsidP="00532D6D">
      <w:pPr>
        <w:pStyle w:val="Ttulo5"/>
        <w:keepNext w:val="0"/>
        <w:ind w:left="-284" w:firstLine="0"/>
        <w:rPr>
          <w:color w:val="000000"/>
        </w:rPr>
      </w:pPr>
      <w:r w:rsidRPr="00161897">
        <w:rPr>
          <w:color w:val="000000"/>
        </w:rPr>
        <w:lastRenderedPageBreak/>
        <w:t>Marcelo Porteiro Cardoso</w:t>
      </w:r>
    </w:p>
    <w:p w14:paraId="524A9249" w14:textId="77777777" w:rsidR="00532D6D" w:rsidRPr="00161897" w:rsidRDefault="00532D6D" w:rsidP="00532D6D">
      <w:pPr>
        <w:pStyle w:val="Ttulo5"/>
        <w:keepNext w:val="0"/>
      </w:pPr>
      <w:r w:rsidRPr="00161897">
        <w:t>Superintendente</w:t>
      </w:r>
    </w:p>
    <w:p w14:paraId="11DAD45D" w14:textId="77777777" w:rsidR="00532D6D" w:rsidRPr="00161897" w:rsidRDefault="00532D6D" w:rsidP="00532D6D">
      <w:pPr>
        <w:pStyle w:val="Ttulo5"/>
        <w:keepNext w:val="0"/>
      </w:pPr>
      <w:r w:rsidRPr="00161897">
        <w:t>Área de Operações e Canais Digitais</w:t>
      </w:r>
    </w:p>
    <w:p w14:paraId="13119F19" w14:textId="77777777" w:rsidR="00532D6D" w:rsidRPr="00543F0E" w:rsidRDefault="00532D6D" w:rsidP="00532D6D">
      <w:pPr>
        <w:pStyle w:val="Ttulo5"/>
        <w:keepNext w:val="0"/>
      </w:pPr>
      <w:r w:rsidRPr="00161897">
        <w:t>BNDES</w:t>
      </w:r>
    </w:p>
    <w:p w14:paraId="2611351C" w14:textId="77777777" w:rsidR="00532D6D" w:rsidRPr="00623B66" w:rsidRDefault="00532D6D" w:rsidP="00532D6D">
      <w:pPr>
        <w:jc w:val="center"/>
        <w:rPr>
          <w:rFonts w:ascii="Arial" w:hAnsi="Arial" w:cs="Arial"/>
          <w:sz w:val="24"/>
          <w:szCs w:val="24"/>
        </w:rPr>
      </w:pPr>
    </w:p>
    <w:p w14:paraId="7D2F4165" w14:textId="77777777" w:rsidR="00D00F45" w:rsidRDefault="00D00F45" w:rsidP="00532D6D">
      <w:pPr>
        <w:jc w:val="center"/>
      </w:pPr>
    </w:p>
    <w:sectPr w:rsidR="00D00F45" w:rsidSect="00882FA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418" w:bottom="141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427C" w14:textId="77777777" w:rsidR="00C33B44" w:rsidRDefault="00C33B44">
      <w:r>
        <w:separator/>
      </w:r>
    </w:p>
  </w:endnote>
  <w:endnote w:type="continuationSeparator" w:id="0">
    <w:p w14:paraId="09FDFB7B" w14:textId="77777777" w:rsidR="00C33B44" w:rsidRDefault="00C3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C631" w14:textId="77777777" w:rsidR="00866D38" w:rsidRDefault="00866D38" w:rsidP="00D00F4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B1CF" w14:textId="77777777" w:rsidR="00C33B44" w:rsidRDefault="00C33B44">
      <w:r>
        <w:separator/>
      </w:r>
    </w:p>
  </w:footnote>
  <w:footnote w:type="continuationSeparator" w:id="0">
    <w:p w14:paraId="5A8B6519" w14:textId="77777777" w:rsidR="00C33B44" w:rsidRDefault="00C3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9660" w14:textId="77777777" w:rsidR="00866D38" w:rsidRDefault="00866D38" w:rsidP="00882F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631BBE9" w14:textId="77777777" w:rsidR="00866D38" w:rsidRDefault="00866D38" w:rsidP="00882F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DFCE" w14:textId="77777777" w:rsidR="00866D38" w:rsidRDefault="00866D38" w:rsidP="004E74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4291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C9EDC6C" w14:textId="77777777" w:rsidR="00866D38" w:rsidRPr="000C7B81" w:rsidRDefault="009F2FCA" w:rsidP="000C7B81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7655"/>
      </w:tabs>
      <w:autoSpaceDE w:val="0"/>
      <w:autoSpaceDN w:val="0"/>
      <w:adjustRightInd w:val="0"/>
      <w:ind w:left="7655" w:right="283" w:hanging="2699"/>
      <w:jc w:val="right"/>
      <w:rPr>
        <w:rFonts w:ascii="Helv" w:hAnsi="Helv" w:cs="Helv"/>
        <w:color w:val="000000"/>
        <w:sz w:val="18"/>
        <w:szCs w:val="18"/>
      </w:rPr>
    </w:pPr>
    <w:r>
      <w:rPr>
        <w:noProof/>
      </w:rPr>
      <w:pict w14:anchorId="3A426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5pt;margin-top:.2pt;width:127.5pt;height:27pt;z-index:251657216">
          <v:imagedata r:id="rId1" o:title="padroes_logoBNDES_cor"/>
          <w10:wrap type="square"/>
        </v:shape>
      </w:pict>
    </w:r>
    <w:r w:rsidR="00866D38" w:rsidRPr="0074287C">
      <w:rPr>
        <w:rFonts w:ascii="Helv" w:hAnsi="Helv" w:cs="Helv"/>
        <w:color w:val="000000"/>
        <w:sz w:val="18"/>
        <w:szCs w:val="18"/>
      </w:rPr>
      <w:t xml:space="preserve">Classificação: Documento </w:t>
    </w:r>
    <w:r w:rsidR="00866D38">
      <w:rPr>
        <w:rFonts w:ascii="Helv" w:hAnsi="Helv" w:cs="Helv"/>
        <w:color w:val="000000"/>
        <w:sz w:val="18"/>
        <w:szCs w:val="18"/>
      </w:rPr>
      <w:t>Ostensivo</w:t>
    </w:r>
    <w:r w:rsidR="00FF74E7">
      <w:rPr>
        <w:rFonts w:ascii="Helv" w:hAnsi="Helv" w:cs="Helv"/>
        <w:color w:val="000000"/>
        <w:sz w:val="18"/>
        <w:szCs w:val="18"/>
      </w:rPr>
      <w:t xml:space="preserve">           </w:t>
    </w:r>
    <w:r w:rsidR="00866D38" w:rsidRPr="000C7B81">
      <w:rPr>
        <w:rFonts w:ascii="Helv" w:hAnsi="Helv" w:cs="Helv"/>
        <w:color w:val="000000"/>
        <w:sz w:val="18"/>
        <w:szCs w:val="18"/>
      </w:rPr>
      <w:t xml:space="preserve">Unidade Gestora: </w:t>
    </w:r>
    <w:r w:rsidR="00FF74E7">
      <w:rPr>
        <w:rFonts w:ascii="Helv" w:hAnsi="Helv" w:cs="Helv"/>
        <w:color w:val="000000"/>
        <w:sz w:val="18"/>
        <w:szCs w:val="18"/>
      </w:rPr>
      <w:t>ADIG</w:t>
    </w:r>
  </w:p>
  <w:p w14:paraId="457AD501" w14:textId="77777777" w:rsidR="00866D38" w:rsidRDefault="00866D38" w:rsidP="00882FA3">
    <w:pPr>
      <w:pStyle w:val="Cabealho"/>
      <w:ind w:right="360"/>
    </w:pPr>
  </w:p>
  <w:p w14:paraId="144A62EE" w14:textId="77777777" w:rsidR="00866D38" w:rsidRDefault="00866D38" w:rsidP="00882FA3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EFA3" w14:textId="77777777" w:rsidR="00866D38" w:rsidRPr="00882FA3" w:rsidRDefault="009F2FCA" w:rsidP="000C7B81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613"/>
      </w:tabs>
      <w:autoSpaceDE w:val="0"/>
      <w:autoSpaceDN w:val="0"/>
      <w:adjustRightInd w:val="0"/>
      <w:ind w:left="2835" w:right="360"/>
      <w:jc w:val="right"/>
      <w:rPr>
        <w:rFonts w:ascii="Helv" w:hAnsi="Helv"/>
        <w:sz w:val="18"/>
        <w:szCs w:val="18"/>
      </w:rPr>
    </w:pPr>
    <w:r>
      <w:rPr>
        <w:rFonts w:ascii="Helv" w:hAnsi="Helv"/>
        <w:noProof/>
        <w:sz w:val="18"/>
        <w:szCs w:val="18"/>
      </w:rPr>
      <w:pict w14:anchorId="21220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.85pt;margin-top:.2pt;width:127.5pt;height:27pt;z-index:251658240">
          <v:imagedata r:id="rId1" o:title="padroes_logoBNDES_cor"/>
          <w10:wrap type="square"/>
        </v:shape>
      </w:pict>
    </w:r>
    <w:r w:rsidR="00866D38" w:rsidRPr="00882FA3">
      <w:rPr>
        <w:rFonts w:ascii="Helv" w:hAnsi="Helv"/>
        <w:sz w:val="18"/>
        <w:szCs w:val="18"/>
      </w:rPr>
      <w:t>Classificação: Documento Ostensivo</w:t>
    </w:r>
  </w:p>
  <w:p w14:paraId="0C2224FF" w14:textId="77777777" w:rsidR="00866D38" w:rsidRDefault="00866D38" w:rsidP="000C7B81">
    <w:pPr>
      <w:tabs>
        <w:tab w:val="left" w:pos="-720"/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613"/>
      </w:tabs>
      <w:autoSpaceDE w:val="0"/>
      <w:autoSpaceDN w:val="0"/>
      <w:adjustRightInd w:val="0"/>
      <w:ind w:left="2835" w:right="360"/>
      <w:jc w:val="right"/>
    </w:pPr>
    <w:r w:rsidRPr="00882FA3">
      <w:rPr>
        <w:rFonts w:ascii="Helv" w:hAnsi="Helv"/>
        <w:sz w:val="18"/>
        <w:szCs w:val="18"/>
      </w:rPr>
      <w:t xml:space="preserve">Unidade Gestora: </w:t>
    </w:r>
    <w:r w:rsidR="006B29E3">
      <w:rPr>
        <w:rFonts w:ascii="Helv" w:hAnsi="Helv"/>
        <w:sz w:val="18"/>
        <w:szCs w:val="18"/>
      </w:rPr>
      <w:t>ADIG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CAA"/>
    <w:multiLevelType w:val="multilevel"/>
    <w:tmpl w:val="54EA0D26"/>
    <w:lvl w:ilvl="0">
      <w:start w:val="1"/>
      <w:numFmt w:val="decimal"/>
      <w:lvlText w:val="%1."/>
      <w:lvlJc w:val="left"/>
      <w:pPr>
        <w:tabs>
          <w:tab w:val="num" w:pos="142"/>
        </w:tabs>
        <w:ind w:left="1673" w:hanging="68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85" w:hanging="78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42"/>
        </w:tabs>
        <w:ind w:left="20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91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34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439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6806" w:hanging="2160"/>
      </w:pPr>
      <w:rPr>
        <w:rFonts w:hint="default"/>
      </w:rPr>
    </w:lvl>
  </w:abstractNum>
  <w:abstractNum w:abstractNumId="1" w15:restartNumberingAfterBreak="0">
    <w:nsid w:val="22037C1A"/>
    <w:multiLevelType w:val="multilevel"/>
    <w:tmpl w:val="86F4DCC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23400B71"/>
    <w:multiLevelType w:val="multilevel"/>
    <w:tmpl w:val="68A893A2"/>
    <w:lvl w:ilvl="0">
      <w:start w:val="1"/>
      <w:numFmt w:val="decimal"/>
      <w:lvlText w:val="%1."/>
      <w:lvlJc w:val="left"/>
      <w:pPr>
        <w:tabs>
          <w:tab w:val="num" w:pos="142"/>
        </w:tabs>
        <w:ind w:left="1673" w:hanging="68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85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766" w:hanging="78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191"/>
        </w:tabs>
        <w:ind w:left="2191" w:hanging="360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34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439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5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6806" w:hanging="2160"/>
      </w:pPr>
      <w:rPr>
        <w:rFonts w:hint="default"/>
      </w:rPr>
    </w:lvl>
  </w:abstractNum>
  <w:abstractNum w:abstractNumId="3" w15:restartNumberingAfterBreak="0">
    <w:nsid w:val="357471FD"/>
    <w:multiLevelType w:val="multilevel"/>
    <w:tmpl w:val="3EA00F98"/>
    <w:lvl w:ilvl="0">
      <w:start w:val="1"/>
      <w:numFmt w:val="decimal"/>
      <w:lvlText w:val="%1."/>
      <w:lvlJc w:val="left"/>
      <w:pPr>
        <w:tabs>
          <w:tab w:val="num" w:pos="0"/>
        </w:tabs>
        <w:ind w:left="1531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43" w:hanging="78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9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64" w:hanging="2160"/>
      </w:pPr>
      <w:rPr>
        <w:rFonts w:hint="default"/>
      </w:rPr>
    </w:lvl>
  </w:abstractNum>
  <w:abstractNum w:abstractNumId="4" w15:restartNumberingAfterBreak="0">
    <w:nsid w:val="552701A8"/>
    <w:multiLevelType w:val="multilevel"/>
    <w:tmpl w:val="2792610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750D3ABD"/>
    <w:multiLevelType w:val="multilevel"/>
    <w:tmpl w:val="8CAE81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0"/>
        </w:tabs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44"/>
        </w:tabs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6" w15:restartNumberingAfterBreak="0">
    <w:nsid w:val="76DA58F4"/>
    <w:multiLevelType w:val="multilevel"/>
    <w:tmpl w:val="3618A1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0"/>
        </w:tabs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44"/>
        </w:tabs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7" w15:restartNumberingAfterBreak="0">
    <w:nsid w:val="79C6738B"/>
    <w:multiLevelType w:val="multilevel"/>
    <w:tmpl w:val="EB4C72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8" w15:restartNumberingAfterBreak="0">
    <w:nsid w:val="7ED2061B"/>
    <w:multiLevelType w:val="multilevel"/>
    <w:tmpl w:val="A9A0E32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655886273">
    <w:abstractNumId w:val="4"/>
  </w:num>
  <w:num w:numId="2" w16cid:durableId="654653191">
    <w:abstractNumId w:val="1"/>
  </w:num>
  <w:num w:numId="3" w16cid:durableId="1022516202">
    <w:abstractNumId w:val="8"/>
  </w:num>
  <w:num w:numId="4" w16cid:durableId="1615752734">
    <w:abstractNumId w:val="0"/>
  </w:num>
  <w:num w:numId="5" w16cid:durableId="988510121">
    <w:abstractNumId w:val="2"/>
  </w:num>
  <w:num w:numId="6" w16cid:durableId="1611933076">
    <w:abstractNumId w:val="5"/>
  </w:num>
  <w:num w:numId="7" w16cid:durableId="1627351393">
    <w:abstractNumId w:val="6"/>
  </w:num>
  <w:num w:numId="8" w16cid:durableId="1872568365">
    <w:abstractNumId w:val="3"/>
  </w:num>
  <w:num w:numId="9" w16cid:durableId="88233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AES" w:cryptAlgorithmClass="hash" w:cryptAlgorithmType="typeAny" w:cryptAlgorithmSid="14" w:cryptSpinCount="100000" w:hash="jCSkF8KTUso2HgmswbJ5imxKanwQbP74HF8uqzb58WNWCYFf3INExfeWMIcZzTxkiD8ZrCQkxecIMWc1kk7UhA==" w:salt="u6iB8iTgJIMXZY+K/nG2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F45"/>
    <w:rsid w:val="00006B94"/>
    <w:rsid w:val="000110A9"/>
    <w:rsid w:val="000229DA"/>
    <w:rsid w:val="00035354"/>
    <w:rsid w:val="00045545"/>
    <w:rsid w:val="00052FF8"/>
    <w:rsid w:val="00064B24"/>
    <w:rsid w:val="000676D9"/>
    <w:rsid w:val="00082E0E"/>
    <w:rsid w:val="00085266"/>
    <w:rsid w:val="00090019"/>
    <w:rsid w:val="00092093"/>
    <w:rsid w:val="000A7B8A"/>
    <w:rsid w:val="000C7B81"/>
    <w:rsid w:val="000D28A4"/>
    <w:rsid w:val="000D686E"/>
    <w:rsid w:val="000E3768"/>
    <w:rsid w:val="000E3988"/>
    <w:rsid w:val="000F47DC"/>
    <w:rsid w:val="000F71E1"/>
    <w:rsid w:val="00114067"/>
    <w:rsid w:val="001336C5"/>
    <w:rsid w:val="00136799"/>
    <w:rsid w:val="00137C2B"/>
    <w:rsid w:val="001551FB"/>
    <w:rsid w:val="00161897"/>
    <w:rsid w:val="00164EBF"/>
    <w:rsid w:val="00176DF5"/>
    <w:rsid w:val="00190BBC"/>
    <w:rsid w:val="00191B04"/>
    <w:rsid w:val="001A038B"/>
    <w:rsid w:val="001A54BE"/>
    <w:rsid w:val="001B09E9"/>
    <w:rsid w:val="001B1976"/>
    <w:rsid w:val="001C019B"/>
    <w:rsid w:val="001C50D0"/>
    <w:rsid w:val="001C79FD"/>
    <w:rsid w:val="001E64A9"/>
    <w:rsid w:val="002002F1"/>
    <w:rsid w:val="00200C02"/>
    <w:rsid w:val="00203BBD"/>
    <w:rsid w:val="00213954"/>
    <w:rsid w:val="00223A4C"/>
    <w:rsid w:val="00232CF6"/>
    <w:rsid w:val="002360D2"/>
    <w:rsid w:val="0024776B"/>
    <w:rsid w:val="00256267"/>
    <w:rsid w:val="00257584"/>
    <w:rsid w:val="00260791"/>
    <w:rsid w:val="00262FD0"/>
    <w:rsid w:val="002736AD"/>
    <w:rsid w:val="00282B8E"/>
    <w:rsid w:val="002867EB"/>
    <w:rsid w:val="002967AD"/>
    <w:rsid w:val="00297A2F"/>
    <w:rsid w:val="002A04FF"/>
    <w:rsid w:val="002A099F"/>
    <w:rsid w:val="002A7981"/>
    <w:rsid w:val="002A7F3E"/>
    <w:rsid w:val="002B0266"/>
    <w:rsid w:val="002B0FE9"/>
    <w:rsid w:val="002C0942"/>
    <w:rsid w:val="002D62E9"/>
    <w:rsid w:val="002E2BF7"/>
    <w:rsid w:val="002E7366"/>
    <w:rsid w:val="002F4049"/>
    <w:rsid w:val="002F4927"/>
    <w:rsid w:val="00300DB4"/>
    <w:rsid w:val="003115C5"/>
    <w:rsid w:val="00324F27"/>
    <w:rsid w:val="00332B7C"/>
    <w:rsid w:val="00333569"/>
    <w:rsid w:val="00341FAC"/>
    <w:rsid w:val="00361F72"/>
    <w:rsid w:val="00365124"/>
    <w:rsid w:val="003659EC"/>
    <w:rsid w:val="003838C9"/>
    <w:rsid w:val="00386785"/>
    <w:rsid w:val="00391E90"/>
    <w:rsid w:val="003933A6"/>
    <w:rsid w:val="003A46FB"/>
    <w:rsid w:val="003A5FA3"/>
    <w:rsid w:val="003B74C2"/>
    <w:rsid w:val="003C0FCB"/>
    <w:rsid w:val="003C4958"/>
    <w:rsid w:val="003C7D7E"/>
    <w:rsid w:val="003E453E"/>
    <w:rsid w:val="003E7E63"/>
    <w:rsid w:val="003F4E86"/>
    <w:rsid w:val="003F794F"/>
    <w:rsid w:val="004012E8"/>
    <w:rsid w:val="00410C8B"/>
    <w:rsid w:val="00414F6F"/>
    <w:rsid w:val="0042364E"/>
    <w:rsid w:val="00427E0A"/>
    <w:rsid w:val="00442D14"/>
    <w:rsid w:val="004505E2"/>
    <w:rsid w:val="00452CFF"/>
    <w:rsid w:val="00484A31"/>
    <w:rsid w:val="004873C3"/>
    <w:rsid w:val="00491991"/>
    <w:rsid w:val="0049354D"/>
    <w:rsid w:val="004A30E9"/>
    <w:rsid w:val="004A4C4A"/>
    <w:rsid w:val="004A51DC"/>
    <w:rsid w:val="004B295A"/>
    <w:rsid w:val="004C7252"/>
    <w:rsid w:val="004E03F3"/>
    <w:rsid w:val="004E4EA9"/>
    <w:rsid w:val="004E5EE9"/>
    <w:rsid w:val="004E74B0"/>
    <w:rsid w:val="004F1472"/>
    <w:rsid w:val="004F655E"/>
    <w:rsid w:val="005001C6"/>
    <w:rsid w:val="00500698"/>
    <w:rsid w:val="00505A48"/>
    <w:rsid w:val="005074FD"/>
    <w:rsid w:val="00522D5C"/>
    <w:rsid w:val="00532D6D"/>
    <w:rsid w:val="00541A1C"/>
    <w:rsid w:val="0059135A"/>
    <w:rsid w:val="0059520E"/>
    <w:rsid w:val="005A40A9"/>
    <w:rsid w:val="005A6670"/>
    <w:rsid w:val="005C6930"/>
    <w:rsid w:val="005D1F3D"/>
    <w:rsid w:val="005D2DE0"/>
    <w:rsid w:val="005F095C"/>
    <w:rsid w:val="005F2040"/>
    <w:rsid w:val="005F3297"/>
    <w:rsid w:val="005F3688"/>
    <w:rsid w:val="005F4A1F"/>
    <w:rsid w:val="006226AB"/>
    <w:rsid w:val="006251A8"/>
    <w:rsid w:val="0063496C"/>
    <w:rsid w:val="00640E48"/>
    <w:rsid w:val="00650B15"/>
    <w:rsid w:val="00651AF3"/>
    <w:rsid w:val="00660CEA"/>
    <w:rsid w:val="00663A2E"/>
    <w:rsid w:val="00685DC1"/>
    <w:rsid w:val="0069196E"/>
    <w:rsid w:val="00691A13"/>
    <w:rsid w:val="00693B40"/>
    <w:rsid w:val="006A3AC9"/>
    <w:rsid w:val="006A68F4"/>
    <w:rsid w:val="006B29E3"/>
    <w:rsid w:val="006B6F87"/>
    <w:rsid w:val="006C186D"/>
    <w:rsid w:val="006C76B7"/>
    <w:rsid w:val="006D2F0D"/>
    <w:rsid w:val="006D66F7"/>
    <w:rsid w:val="006D6FEA"/>
    <w:rsid w:val="006D702F"/>
    <w:rsid w:val="006E1374"/>
    <w:rsid w:val="006F0C5D"/>
    <w:rsid w:val="00713972"/>
    <w:rsid w:val="0071562C"/>
    <w:rsid w:val="00720C64"/>
    <w:rsid w:val="00737B85"/>
    <w:rsid w:val="00750631"/>
    <w:rsid w:val="00752B3E"/>
    <w:rsid w:val="00757B55"/>
    <w:rsid w:val="00764E5E"/>
    <w:rsid w:val="00784270"/>
    <w:rsid w:val="00784701"/>
    <w:rsid w:val="007865E8"/>
    <w:rsid w:val="007A5C44"/>
    <w:rsid w:val="007B45A9"/>
    <w:rsid w:val="007C1CFC"/>
    <w:rsid w:val="007E11FA"/>
    <w:rsid w:val="007E6686"/>
    <w:rsid w:val="007E6871"/>
    <w:rsid w:val="007F747B"/>
    <w:rsid w:val="00811C08"/>
    <w:rsid w:val="00816395"/>
    <w:rsid w:val="00822C4E"/>
    <w:rsid w:val="008343DE"/>
    <w:rsid w:val="00836B2F"/>
    <w:rsid w:val="00837913"/>
    <w:rsid w:val="00837E27"/>
    <w:rsid w:val="008471F0"/>
    <w:rsid w:val="008473F0"/>
    <w:rsid w:val="00856E4E"/>
    <w:rsid w:val="00866D38"/>
    <w:rsid w:val="00872FFC"/>
    <w:rsid w:val="008757A4"/>
    <w:rsid w:val="00877F8E"/>
    <w:rsid w:val="00881F8C"/>
    <w:rsid w:val="00882FA3"/>
    <w:rsid w:val="00883A80"/>
    <w:rsid w:val="00897E26"/>
    <w:rsid w:val="008A170C"/>
    <w:rsid w:val="008A37B1"/>
    <w:rsid w:val="008A431E"/>
    <w:rsid w:val="008A52EC"/>
    <w:rsid w:val="008E55CD"/>
    <w:rsid w:val="008E68C3"/>
    <w:rsid w:val="008E7CF8"/>
    <w:rsid w:val="008F0B2E"/>
    <w:rsid w:val="008F10F3"/>
    <w:rsid w:val="008F2C9E"/>
    <w:rsid w:val="008F5A50"/>
    <w:rsid w:val="008F65EF"/>
    <w:rsid w:val="0090254E"/>
    <w:rsid w:val="00903457"/>
    <w:rsid w:val="00922A5C"/>
    <w:rsid w:val="00954B70"/>
    <w:rsid w:val="00955A7D"/>
    <w:rsid w:val="00957232"/>
    <w:rsid w:val="0096304B"/>
    <w:rsid w:val="00975484"/>
    <w:rsid w:val="009A1EEB"/>
    <w:rsid w:val="009A2AC4"/>
    <w:rsid w:val="009A383A"/>
    <w:rsid w:val="009C0337"/>
    <w:rsid w:val="009C220B"/>
    <w:rsid w:val="009C5E99"/>
    <w:rsid w:val="009C7FEC"/>
    <w:rsid w:val="009D2876"/>
    <w:rsid w:val="009E7717"/>
    <w:rsid w:val="009F081C"/>
    <w:rsid w:val="009F2FCA"/>
    <w:rsid w:val="00A01F6E"/>
    <w:rsid w:val="00A04FEB"/>
    <w:rsid w:val="00A07E3D"/>
    <w:rsid w:val="00A1281A"/>
    <w:rsid w:val="00A16253"/>
    <w:rsid w:val="00A17A18"/>
    <w:rsid w:val="00A23589"/>
    <w:rsid w:val="00A25C0B"/>
    <w:rsid w:val="00A25C96"/>
    <w:rsid w:val="00A33309"/>
    <w:rsid w:val="00A46318"/>
    <w:rsid w:val="00A4635D"/>
    <w:rsid w:val="00A52DE3"/>
    <w:rsid w:val="00A53240"/>
    <w:rsid w:val="00A53F11"/>
    <w:rsid w:val="00A543E6"/>
    <w:rsid w:val="00A55CDA"/>
    <w:rsid w:val="00A60DE8"/>
    <w:rsid w:val="00A64B40"/>
    <w:rsid w:val="00A70516"/>
    <w:rsid w:val="00A804F2"/>
    <w:rsid w:val="00A91A2C"/>
    <w:rsid w:val="00A95CBC"/>
    <w:rsid w:val="00A96C42"/>
    <w:rsid w:val="00AA383C"/>
    <w:rsid w:val="00AA49A9"/>
    <w:rsid w:val="00AB1FB2"/>
    <w:rsid w:val="00AB2D15"/>
    <w:rsid w:val="00AB4ECC"/>
    <w:rsid w:val="00AC1538"/>
    <w:rsid w:val="00AC1BA7"/>
    <w:rsid w:val="00AE1E9A"/>
    <w:rsid w:val="00AF4753"/>
    <w:rsid w:val="00B00E9E"/>
    <w:rsid w:val="00B0236F"/>
    <w:rsid w:val="00B20D7E"/>
    <w:rsid w:val="00B20F8E"/>
    <w:rsid w:val="00B2361C"/>
    <w:rsid w:val="00B437E7"/>
    <w:rsid w:val="00B46384"/>
    <w:rsid w:val="00B4701F"/>
    <w:rsid w:val="00B47B0D"/>
    <w:rsid w:val="00B5042F"/>
    <w:rsid w:val="00B6462B"/>
    <w:rsid w:val="00B772BD"/>
    <w:rsid w:val="00B904E4"/>
    <w:rsid w:val="00B913C8"/>
    <w:rsid w:val="00B95A1F"/>
    <w:rsid w:val="00B96915"/>
    <w:rsid w:val="00BA4489"/>
    <w:rsid w:val="00BB5360"/>
    <w:rsid w:val="00BC46FF"/>
    <w:rsid w:val="00BC6028"/>
    <w:rsid w:val="00BC79BF"/>
    <w:rsid w:val="00BD0151"/>
    <w:rsid w:val="00BE643D"/>
    <w:rsid w:val="00BE6FC1"/>
    <w:rsid w:val="00BE6FEA"/>
    <w:rsid w:val="00C01045"/>
    <w:rsid w:val="00C015FE"/>
    <w:rsid w:val="00C05F1D"/>
    <w:rsid w:val="00C14A04"/>
    <w:rsid w:val="00C22BBA"/>
    <w:rsid w:val="00C24291"/>
    <w:rsid w:val="00C33B44"/>
    <w:rsid w:val="00C36F45"/>
    <w:rsid w:val="00C40054"/>
    <w:rsid w:val="00C40271"/>
    <w:rsid w:val="00C50194"/>
    <w:rsid w:val="00C522B6"/>
    <w:rsid w:val="00C62FBF"/>
    <w:rsid w:val="00C639BB"/>
    <w:rsid w:val="00C65F2F"/>
    <w:rsid w:val="00C6793B"/>
    <w:rsid w:val="00C72A9B"/>
    <w:rsid w:val="00C8112F"/>
    <w:rsid w:val="00C850F8"/>
    <w:rsid w:val="00C94D8D"/>
    <w:rsid w:val="00CA30F1"/>
    <w:rsid w:val="00CA417F"/>
    <w:rsid w:val="00CD2CE9"/>
    <w:rsid w:val="00CD65CF"/>
    <w:rsid w:val="00CE02E9"/>
    <w:rsid w:val="00CE05C5"/>
    <w:rsid w:val="00CE46F9"/>
    <w:rsid w:val="00CE4BB7"/>
    <w:rsid w:val="00D00F45"/>
    <w:rsid w:val="00D0177D"/>
    <w:rsid w:val="00D1155A"/>
    <w:rsid w:val="00D14AB7"/>
    <w:rsid w:val="00D20743"/>
    <w:rsid w:val="00D228D2"/>
    <w:rsid w:val="00D22ABD"/>
    <w:rsid w:val="00D22EC9"/>
    <w:rsid w:val="00D267A2"/>
    <w:rsid w:val="00D3725F"/>
    <w:rsid w:val="00D47D49"/>
    <w:rsid w:val="00D51396"/>
    <w:rsid w:val="00D61030"/>
    <w:rsid w:val="00D63269"/>
    <w:rsid w:val="00D75866"/>
    <w:rsid w:val="00D75918"/>
    <w:rsid w:val="00D82405"/>
    <w:rsid w:val="00D90986"/>
    <w:rsid w:val="00D9184B"/>
    <w:rsid w:val="00D94E9D"/>
    <w:rsid w:val="00DA0653"/>
    <w:rsid w:val="00DA1C4E"/>
    <w:rsid w:val="00DA4CF1"/>
    <w:rsid w:val="00DA71C5"/>
    <w:rsid w:val="00DA7FE6"/>
    <w:rsid w:val="00DB05D9"/>
    <w:rsid w:val="00DC1917"/>
    <w:rsid w:val="00DC68FF"/>
    <w:rsid w:val="00DD1A42"/>
    <w:rsid w:val="00DD2475"/>
    <w:rsid w:val="00DD39CC"/>
    <w:rsid w:val="00DD6533"/>
    <w:rsid w:val="00DE07DE"/>
    <w:rsid w:val="00DE1C12"/>
    <w:rsid w:val="00E06E82"/>
    <w:rsid w:val="00E1758A"/>
    <w:rsid w:val="00E31C21"/>
    <w:rsid w:val="00E418BF"/>
    <w:rsid w:val="00E467A4"/>
    <w:rsid w:val="00E62E37"/>
    <w:rsid w:val="00E73235"/>
    <w:rsid w:val="00E74467"/>
    <w:rsid w:val="00E85F91"/>
    <w:rsid w:val="00E910CE"/>
    <w:rsid w:val="00E943D6"/>
    <w:rsid w:val="00EA393B"/>
    <w:rsid w:val="00EB2288"/>
    <w:rsid w:val="00EB7F60"/>
    <w:rsid w:val="00ED36CF"/>
    <w:rsid w:val="00ED4351"/>
    <w:rsid w:val="00EF2C09"/>
    <w:rsid w:val="00F16D80"/>
    <w:rsid w:val="00F3633B"/>
    <w:rsid w:val="00F419B3"/>
    <w:rsid w:val="00F468E3"/>
    <w:rsid w:val="00F46BF0"/>
    <w:rsid w:val="00F53080"/>
    <w:rsid w:val="00F64EE7"/>
    <w:rsid w:val="00F73E6D"/>
    <w:rsid w:val="00F75531"/>
    <w:rsid w:val="00F76231"/>
    <w:rsid w:val="00F7730D"/>
    <w:rsid w:val="00F8072F"/>
    <w:rsid w:val="00F81B13"/>
    <w:rsid w:val="00F92FCC"/>
    <w:rsid w:val="00F94298"/>
    <w:rsid w:val="00F94B24"/>
    <w:rsid w:val="00FA0025"/>
    <w:rsid w:val="00FA1D09"/>
    <w:rsid w:val="00FA2E73"/>
    <w:rsid w:val="00FA34AF"/>
    <w:rsid w:val="00FA73DA"/>
    <w:rsid w:val="00FB20A3"/>
    <w:rsid w:val="00FB7D1F"/>
    <w:rsid w:val="00FC3842"/>
    <w:rsid w:val="00FC4475"/>
    <w:rsid w:val="00FC58E9"/>
    <w:rsid w:val="00FC5B72"/>
    <w:rsid w:val="00FC5C8A"/>
    <w:rsid w:val="00FC6197"/>
    <w:rsid w:val="00FD3ED5"/>
    <w:rsid w:val="00FD6B4D"/>
    <w:rsid w:val="00FE12FC"/>
    <w:rsid w:val="00FF263D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6E8A29"/>
  <w15:chartTrackingRefBased/>
  <w15:docId w15:val="{9FCCF913-6B5E-48C8-BF32-A6349C7C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45"/>
  </w:style>
  <w:style w:type="paragraph" w:styleId="Ttulo5">
    <w:name w:val="heading 5"/>
    <w:basedOn w:val="Normal"/>
    <w:next w:val="Normal"/>
    <w:link w:val="Ttulo5Char"/>
    <w:qFormat/>
    <w:rsid w:val="00532D6D"/>
    <w:pPr>
      <w:keepNext/>
      <w:tabs>
        <w:tab w:val="left" w:pos="4962"/>
      </w:tabs>
      <w:ind w:hanging="284"/>
      <w:jc w:val="center"/>
      <w:outlineLvl w:val="4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00F4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00F45"/>
  </w:style>
  <w:style w:type="paragraph" w:customStyle="1" w:styleId="BNDES">
    <w:name w:val="BNDES"/>
    <w:link w:val="BNDESChar"/>
    <w:rsid w:val="00D00F45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D00F45"/>
    <w:pPr>
      <w:jc w:val="center"/>
      <w:outlineLvl w:val="0"/>
    </w:pPr>
    <w:rPr>
      <w:rFonts w:ascii="Arial" w:hAnsi="Arial"/>
      <w:b/>
      <w:kern w:val="28"/>
      <w:sz w:val="24"/>
    </w:rPr>
  </w:style>
  <w:style w:type="character" w:styleId="Hyperlink">
    <w:name w:val="Hyperlink"/>
    <w:rsid w:val="00D00F45"/>
    <w:rPr>
      <w:rFonts w:ascii="Arial" w:hAnsi="Arial"/>
      <w:color w:val="0000FF"/>
      <w:sz w:val="24"/>
      <w:u w:val="single"/>
    </w:rPr>
  </w:style>
  <w:style w:type="paragraph" w:customStyle="1" w:styleId="CharChar">
    <w:name w:val="Char Char"/>
    <w:basedOn w:val="Normal"/>
    <w:rsid w:val="00D00F45"/>
    <w:pPr>
      <w:spacing w:after="160" w:line="240" w:lineRule="exact"/>
    </w:pPr>
    <w:rPr>
      <w:rFonts w:ascii="Verdana" w:hAnsi="Verdana"/>
      <w:b/>
      <w:lang w:val="en-US" w:eastAsia="en-US"/>
    </w:rPr>
  </w:style>
  <w:style w:type="character" w:customStyle="1" w:styleId="BNDESChar">
    <w:name w:val="BNDES Char"/>
    <w:link w:val="BNDES"/>
    <w:rsid w:val="00D00F45"/>
    <w:rPr>
      <w:rFonts w:ascii="Arial" w:hAnsi="Arial"/>
      <w:sz w:val="24"/>
      <w:lang w:val="pt-BR" w:eastAsia="pt-BR" w:bidi="ar-SA"/>
    </w:rPr>
  </w:style>
  <w:style w:type="paragraph" w:styleId="Textodebalo">
    <w:name w:val="Balloon Text"/>
    <w:basedOn w:val="Normal"/>
    <w:semiHidden/>
    <w:rsid w:val="00A162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FC5C8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customStyle="1" w:styleId="CharChar1">
    <w:name w:val="Char Char1"/>
    <w:basedOn w:val="Normal"/>
    <w:rsid w:val="00E910CE"/>
    <w:pPr>
      <w:spacing w:after="160" w:line="240" w:lineRule="exact"/>
    </w:pPr>
    <w:rPr>
      <w:rFonts w:ascii="Verdana" w:hAnsi="Verdana"/>
      <w:b/>
      <w:lang w:val="en-US" w:eastAsia="en-US"/>
    </w:rPr>
  </w:style>
  <w:style w:type="paragraph" w:styleId="Textodenotaderodap">
    <w:name w:val="footnote text"/>
    <w:basedOn w:val="Normal"/>
    <w:semiHidden/>
    <w:rsid w:val="00882FA3"/>
  </w:style>
  <w:style w:type="character" w:styleId="Refdenotaderodap">
    <w:name w:val="footnote reference"/>
    <w:semiHidden/>
    <w:rsid w:val="00882FA3"/>
    <w:rPr>
      <w:vertAlign w:val="superscript"/>
    </w:rPr>
  </w:style>
  <w:style w:type="character" w:customStyle="1" w:styleId="Ttulo5Char">
    <w:name w:val="Título 5 Char"/>
    <w:link w:val="Ttulo5"/>
    <w:rsid w:val="00532D6D"/>
    <w:rPr>
      <w:rFonts w:ascii="Arial" w:hAnsi="Arial" w:cs="Arial"/>
      <w:sz w:val="24"/>
    </w:rPr>
  </w:style>
  <w:style w:type="paragraph" w:styleId="Reviso">
    <w:name w:val="Revision"/>
    <w:hidden/>
    <w:uiPriority w:val="99"/>
    <w:semiHidden/>
    <w:rsid w:val="00484A31"/>
  </w:style>
  <w:style w:type="paragraph" w:styleId="PargrafodaLista">
    <w:name w:val="List Paragraph"/>
    <w:basedOn w:val="Normal"/>
    <w:uiPriority w:val="34"/>
    <w:qFormat/>
    <w:rsid w:val="009C7FEC"/>
    <w:pPr>
      <w:ind w:left="709"/>
    </w:pPr>
  </w:style>
  <w:style w:type="character" w:styleId="Refdecomentrio">
    <w:name w:val="annotation reference"/>
    <w:uiPriority w:val="99"/>
    <w:semiHidden/>
    <w:unhideWhenUsed/>
    <w:rsid w:val="004A30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0E9"/>
  </w:style>
  <w:style w:type="character" w:customStyle="1" w:styleId="TextodecomentrioChar">
    <w:name w:val="Texto de comentário Char"/>
    <w:basedOn w:val="Fontepargpadro"/>
    <w:link w:val="Textodecomentrio"/>
    <w:uiPriority w:val="99"/>
    <w:rsid w:val="004A30E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0E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3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FD07-4514-4F18-9CCC-1E628B4FDD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aee72d-2f82-48e1-9078-193c2d8a0bda}" enabled="1" method="Standar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1772</Words>
  <Characters>9575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 AGRIS 36/2012</vt:lpstr>
    </vt:vector>
  </TitlesOfParts>
  <Company>BNDES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 AGRIS 36/2012</dc:title>
  <dc:subject>Refin Agro PRONAF Invest</dc:subject>
  <dc:creator>Caio Barbosa Alves de Araujo</dc:creator>
  <cp:keywords/>
  <cp:lastModifiedBy>Jose Magno de Melo Silva</cp:lastModifiedBy>
  <cp:revision>17</cp:revision>
  <cp:lastPrinted>2013-03-13T22:14:00Z</cp:lastPrinted>
  <dcterms:created xsi:type="dcterms:W3CDTF">2023-09-01T20:12:00Z</dcterms:created>
  <dcterms:modified xsi:type="dcterms:W3CDTF">2025-07-10T14:53:00Z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aee72d-2f82-48e1-9078-193c2d8a0bda_Enabled">
    <vt:lpwstr>true</vt:lpwstr>
  </property>
  <property fmtid="{D5CDD505-2E9C-101B-9397-08002B2CF9AE}" pid="3" name="MSIP_Label_95aee72d-2f82-48e1-9078-193c2d8a0bda_SetDate">
    <vt:lpwstr>2023-09-01T20:12:13Z</vt:lpwstr>
  </property>
  <property fmtid="{D5CDD505-2E9C-101B-9397-08002B2CF9AE}" pid="4" name="MSIP_Label_95aee72d-2f82-48e1-9078-193c2d8a0bda_Method">
    <vt:lpwstr>Standard</vt:lpwstr>
  </property>
  <property fmtid="{D5CDD505-2E9C-101B-9397-08002B2CF9AE}" pid="5" name="MSIP_Label_95aee72d-2f82-48e1-9078-193c2d8a0bda_Name">
    <vt:lpwstr>Não Classificado - Circulação interna</vt:lpwstr>
  </property>
  <property fmtid="{D5CDD505-2E9C-101B-9397-08002B2CF9AE}" pid="6" name="MSIP_Label_95aee72d-2f82-48e1-9078-193c2d8a0bda_SiteId">
    <vt:lpwstr>7e2324c6-6925-427e-b56d-4e6eda16752a</vt:lpwstr>
  </property>
  <property fmtid="{D5CDD505-2E9C-101B-9397-08002B2CF9AE}" pid="7" name="MSIP_Label_95aee72d-2f82-48e1-9078-193c2d8a0bda_ActionId">
    <vt:lpwstr>4b1dd089-2601-4fe1-bc8a-75b31b865163</vt:lpwstr>
  </property>
  <property fmtid="{D5CDD505-2E9C-101B-9397-08002B2CF9AE}" pid="8" name="MSIP_Label_95aee72d-2f82-48e1-9078-193c2d8a0bda_ContentBits">
    <vt:lpwstr>0</vt:lpwstr>
  </property>
</Properties>
</file>