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F3A12" w14:textId="338D11E3" w:rsidR="00140302" w:rsidRPr="003826F8" w:rsidRDefault="00140302" w:rsidP="0018294D">
      <w:pPr>
        <w:keepNext/>
        <w:tabs>
          <w:tab w:val="left" w:pos="0"/>
        </w:tabs>
        <w:jc w:val="both"/>
        <w:rPr>
          <w:rFonts w:ascii="Arial" w:hAnsi="Arial" w:cs="Arial"/>
        </w:rPr>
      </w:pPr>
      <w:r w:rsidRPr="003826F8">
        <w:rPr>
          <w:rFonts w:ascii="Arial" w:hAnsi="Arial" w:cs="Arial"/>
        </w:rPr>
        <w:t>CIRCULAR SUP/</w:t>
      </w:r>
      <w:r w:rsidR="00213C61" w:rsidRPr="003826F8">
        <w:rPr>
          <w:rFonts w:ascii="Arial" w:hAnsi="Arial" w:cs="Arial"/>
        </w:rPr>
        <w:t>A</w:t>
      </w:r>
      <w:r w:rsidR="001A2C7E" w:rsidRPr="003826F8">
        <w:rPr>
          <w:rFonts w:ascii="Arial" w:hAnsi="Arial" w:cs="Arial"/>
        </w:rPr>
        <w:t>DIG</w:t>
      </w:r>
      <w:r w:rsidRPr="003826F8">
        <w:rPr>
          <w:rFonts w:ascii="Arial" w:hAnsi="Arial" w:cs="Arial"/>
        </w:rPr>
        <w:t xml:space="preserve"> Nº </w:t>
      </w:r>
      <w:r w:rsidR="00227C00">
        <w:rPr>
          <w:rFonts w:ascii="Arial" w:hAnsi="Arial" w:cs="Arial"/>
        </w:rPr>
        <w:t>09</w:t>
      </w:r>
      <w:r w:rsidR="00DE67B5" w:rsidRPr="003826F8">
        <w:rPr>
          <w:rFonts w:ascii="Arial" w:hAnsi="Arial" w:cs="Arial"/>
        </w:rPr>
        <w:t>/</w:t>
      </w:r>
      <w:r w:rsidR="00B85E04" w:rsidRPr="003826F8">
        <w:rPr>
          <w:rFonts w:ascii="Arial" w:hAnsi="Arial" w:cs="Arial"/>
        </w:rPr>
        <w:t>202</w:t>
      </w:r>
      <w:r w:rsidR="00B401A8">
        <w:rPr>
          <w:rFonts w:ascii="Arial" w:hAnsi="Arial" w:cs="Arial"/>
        </w:rPr>
        <w:t>4</w:t>
      </w:r>
      <w:r w:rsidRPr="003826F8">
        <w:rPr>
          <w:rFonts w:ascii="Arial" w:hAnsi="Arial" w:cs="Arial"/>
        </w:rPr>
        <w:t>-BNDES</w:t>
      </w:r>
    </w:p>
    <w:p w14:paraId="73739EAD" w14:textId="77777777" w:rsidR="00F07AEA" w:rsidRPr="003826F8" w:rsidRDefault="00F07AEA" w:rsidP="0018294D">
      <w:pPr>
        <w:pStyle w:val="BNDES"/>
        <w:keepNext/>
        <w:outlineLvl w:val="0"/>
        <w:rPr>
          <w:rFonts w:cs="Arial"/>
          <w:szCs w:val="24"/>
        </w:rPr>
      </w:pPr>
    </w:p>
    <w:p w14:paraId="359B4065" w14:textId="77777777" w:rsidR="00F07AEA" w:rsidRPr="003826F8" w:rsidRDefault="00F07AEA" w:rsidP="0018294D">
      <w:pPr>
        <w:pStyle w:val="BNDES"/>
        <w:keepNext/>
        <w:outlineLvl w:val="0"/>
        <w:rPr>
          <w:rFonts w:cs="Arial"/>
          <w:szCs w:val="24"/>
        </w:rPr>
      </w:pPr>
    </w:p>
    <w:p w14:paraId="20022BC0" w14:textId="10082811" w:rsidR="00F07AEA" w:rsidRPr="009D0B4D" w:rsidRDefault="00F07AEA" w:rsidP="0018294D">
      <w:pPr>
        <w:pStyle w:val="BNDES"/>
        <w:keepNext/>
        <w:outlineLvl w:val="0"/>
        <w:rPr>
          <w:rFonts w:cs="Arial"/>
          <w:szCs w:val="24"/>
        </w:rPr>
      </w:pPr>
      <w:r w:rsidRPr="003826F8">
        <w:rPr>
          <w:rFonts w:cs="Arial"/>
          <w:szCs w:val="24"/>
        </w:rPr>
        <w:t xml:space="preserve">Rio de Janeiro, </w:t>
      </w:r>
      <w:r w:rsidR="000E3571">
        <w:rPr>
          <w:rFonts w:cs="Arial"/>
          <w:szCs w:val="24"/>
        </w:rPr>
        <w:t>05</w:t>
      </w:r>
      <w:r w:rsidR="000E3571" w:rsidRPr="003826F8">
        <w:rPr>
          <w:rFonts w:cs="Arial"/>
          <w:szCs w:val="24"/>
        </w:rPr>
        <w:t xml:space="preserve"> </w:t>
      </w:r>
      <w:r w:rsidR="00F9599E" w:rsidRPr="003826F8">
        <w:rPr>
          <w:rFonts w:cs="Arial"/>
          <w:szCs w:val="24"/>
        </w:rPr>
        <w:t xml:space="preserve">de </w:t>
      </w:r>
      <w:r w:rsidR="00B401A8">
        <w:rPr>
          <w:rFonts w:cs="Arial"/>
          <w:szCs w:val="24"/>
        </w:rPr>
        <w:t>março</w:t>
      </w:r>
      <w:r w:rsidR="00B401A8" w:rsidRPr="003826F8">
        <w:rPr>
          <w:rFonts w:cs="Arial"/>
          <w:szCs w:val="24"/>
        </w:rPr>
        <w:t xml:space="preserve"> </w:t>
      </w:r>
      <w:r w:rsidR="00B85E04" w:rsidRPr="003826F8">
        <w:rPr>
          <w:rFonts w:cs="Arial"/>
          <w:szCs w:val="24"/>
        </w:rPr>
        <w:t>de 202</w:t>
      </w:r>
      <w:r w:rsidR="00B401A8">
        <w:rPr>
          <w:rFonts w:cs="Arial"/>
          <w:szCs w:val="24"/>
        </w:rPr>
        <w:t>4</w:t>
      </w:r>
      <w:r w:rsidR="00C627E5" w:rsidRPr="003826F8">
        <w:rPr>
          <w:rFonts w:cs="Arial"/>
          <w:szCs w:val="24"/>
        </w:rPr>
        <w:t>.</w:t>
      </w:r>
    </w:p>
    <w:p w14:paraId="0E551C0D" w14:textId="77777777" w:rsidR="00F07AEA" w:rsidRPr="009D0B4D" w:rsidRDefault="00F07AEA" w:rsidP="0018294D">
      <w:pPr>
        <w:keepNext/>
        <w:tabs>
          <w:tab w:val="left" w:pos="540"/>
        </w:tabs>
        <w:jc w:val="both"/>
        <w:rPr>
          <w:rFonts w:ascii="Arial" w:hAnsi="Arial" w:cs="Arial"/>
        </w:rPr>
      </w:pPr>
    </w:p>
    <w:p w14:paraId="7221D425" w14:textId="77777777" w:rsidR="00F07AEA" w:rsidRPr="009D0B4D" w:rsidRDefault="00F07AEA" w:rsidP="0018294D">
      <w:pPr>
        <w:pStyle w:val="BNDES"/>
        <w:keepNext/>
        <w:tabs>
          <w:tab w:val="left" w:pos="709"/>
        </w:tabs>
        <w:outlineLvl w:val="0"/>
        <w:rPr>
          <w:rFonts w:cs="Arial"/>
          <w:szCs w:val="24"/>
        </w:rPr>
      </w:pPr>
    </w:p>
    <w:p w14:paraId="16D47CD7" w14:textId="77777777" w:rsidR="00F07AEA" w:rsidRPr="009D0B4D" w:rsidRDefault="00F07AEA" w:rsidP="0018294D">
      <w:pPr>
        <w:pStyle w:val="BNDES"/>
        <w:keepNext/>
        <w:tabs>
          <w:tab w:val="left" w:pos="709"/>
        </w:tabs>
        <w:outlineLvl w:val="0"/>
        <w:rPr>
          <w:rFonts w:cs="Arial"/>
          <w:b/>
          <w:bCs/>
          <w:szCs w:val="24"/>
        </w:rPr>
      </w:pPr>
      <w:r w:rsidRPr="009D0B4D">
        <w:rPr>
          <w:rFonts w:cs="Arial"/>
          <w:szCs w:val="24"/>
        </w:rPr>
        <w:t>Ref.:</w:t>
      </w:r>
      <w:r w:rsidRPr="009D0B4D">
        <w:rPr>
          <w:rFonts w:cs="Arial"/>
          <w:szCs w:val="24"/>
        </w:rPr>
        <w:tab/>
      </w:r>
      <w:r w:rsidR="00535348" w:rsidRPr="009D0B4D">
        <w:rPr>
          <w:rFonts w:cs="Arial"/>
          <w:szCs w:val="24"/>
        </w:rPr>
        <w:t xml:space="preserve">Produto BNDES </w:t>
      </w:r>
      <w:r w:rsidR="00744ABE" w:rsidRPr="009D0B4D">
        <w:t>Finame</w:t>
      </w:r>
      <w:r w:rsidR="009D4217" w:rsidRPr="009D0B4D">
        <w:t>.</w:t>
      </w:r>
    </w:p>
    <w:p w14:paraId="70C5FF12" w14:textId="77777777" w:rsidR="00F07AEA" w:rsidRPr="009D0B4D" w:rsidRDefault="00F07AEA" w:rsidP="0018294D">
      <w:pPr>
        <w:pStyle w:val="BNDES"/>
        <w:keepNext/>
        <w:tabs>
          <w:tab w:val="left" w:pos="709"/>
        </w:tabs>
        <w:rPr>
          <w:rFonts w:cs="Arial"/>
          <w:szCs w:val="24"/>
        </w:rPr>
      </w:pPr>
    </w:p>
    <w:p w14:paraId="76D753DD" w14:textId="2CFA796F" w:rsidR="00F07AEA" w:rsidRPr="009D0B4D" w:rsidRDefault="00F07AEA" w:rsidP="0018294D">
      <w:pPr>
        <w:pStyle w:val="BNDES"/>
        <w:keepNext/>
        <w:tabs>
          <w:tab w:val="left" w:pos="709"/>
        </w:tabs>
        <w:ind w:left="720" w:hanging="720"/>
        <w:rPr>
          <w:rFonts w:cs="Arial"/>
          <w:szCs w:val="24"/>
        </w:rPr>
      </w:pPr>
      <w:r w:rsidRPr="009D0B4D">
        <w:rPr>
          <w:rFonts w:cs="Arial"/>
          <w:szCs w:val="24"/>
        </w:rPr>
        <w:t>Ass.:</w:t>
      </w:r>
      <w:r w:rsidRPr="009D0B4D">
        <w:rPr>
          <w:rFonts w:cs="Arial"/>
          <w:szCs w:val="24"/>
        </w:rPr>
        <w:tab/>
      </w:r>
      <w:r w:rsidR="00207E42" w:rsidRPr="009D0B4D">
        <w:t xml:space="preserve">Programa </w:t>
      </w:r>
      <w:r w:rsidR="00747DCD" w:rsidRPr="009D0B4D">
        <w:t>BNDES F</w:t>
      </w:r>
      <w:r w:rsidR="00286C88" w:rsidRPr="009D0B4D">
        <w:t>iname</w:t>
      </w:r>
      <w:r w:rsidR="00747DCD" w:rsidRPr="009D0B4D">
        <w:t xml:space="preserve"> F</w:t>
      </w:r>
      <w:r w:rsidR="003B3AE3" w:rsidRPr="009D0B4D">
        <w:t>UST</w:t>
      </w:r>
      <w:r w:rsidR="009D4217" w:rsidRPr="009D0B4D">
        <w:t>.</w:t>
      </w:r>
    </w:p>
    <w:p w14:paraId="3DB94F14" w14:textId="77777777" w:rsidR="00F07AEA" w:rsidRPr="009D0B4D" w:rsidRDefault="00F07AEA" w:rsidP="0018294D">
      <w:pPr>
        <w:pStyle w:val="BNDES"/>
        <w:keepNext/>
        <w:tabs>
          <w:tab w:val="left" w:pos="709"/>
        </w:tabs>
        <w:rPr>
          <w:rFonts w:cs="Arial"/>
          <w:szCs w:val="24"/>
        </w:rPr>
      </w:pPr>
    </w:p>
    <w:p w14:paraId="091B8D9B" w14:textId="77777777" w:rsidR="0074287C" w:rsidRPr="009D0B4D" w:rsidRDefault="0074287C" w:rsidP="0018294D">
      <w:pPr>
        <w:pStyle w:val="BNDES"/>
        <w:keepNext/>
        <w:tabs>
          <w:tab w:val="left" w:pos="709"/>
        </w:tabs>
        <w:rPr>
          <w:rFonts w:cs="Arial"/>
          <w:szCs w:val="24"/>
        </w:rPr>
      </w:pPr>
    </w:p>
    <w:p w14:paraId="011436E6" w14:textId="707B34A0" w:rsidR="00926C8C" w:rsidRPr="009D0B4D" w:rsidRDefault="00926C8C" w:rsidP="00C13034">
      <w:pPr>
        <w:keepNext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D0B4D">
        <w:rPr>
          <w:rFonts w:ascii="Arial" w:hAnsi="Arial" w:cs="Arial"/>
        </w:rPr>
        <w:t xml:space="preserve">O Superintendente da Área de Operações </w:t>
      </w:r>
      <w:r w:rsidR="00C13034" w:rsidRPr="009D0B4D">
        <w:rPr>
          <w:rFonts w:ascii="Arial" w:hAnsi="Arial" w:cs="Arial"/>
        </w:rPr>
        <w:t>e Canais Digitais</w:t>
      </w:r>
      <w:r w:rsidRPr="009D0B4D">
        <w:rPr>
          <w:rFonts w:ascii="Arial" w:hAnsi="Arial" w:cs="Arial"/>
        </w:rPr>
        <w:t xml:space="preserve"> </w:t>
      </w:r>
      <w:r w:rsidR="00EC0554" w:rsidRPr="009D0B4D">
        <w:rPr>
          <w:rFonts w:ascii="Arial" w:hAnsi="Arial" w:cs="Arial"/>
        </w:rPr>
        <w:t>–</w:t>
      </w:r>
      <w:r w:rsidRPr="009D0B4D">
        <w:rPr>
          <w:rFonts w:ascii="Arial" w:hAnsi="Arial" w:cs="Arial"/>
        </w:rPr>
        <w:t xml:space="preserve"> </w:t>
      </w:r>
      <w:r w:rsidR="00EC0554" w:rsidRPr="009D0B4D">
        <w:rPr>
          <w:rFonts w:ascii="Arial" w:hAnsi="Arial" w:cs="Arial"/>
        </w:rPr>
        <w:t>ADIG</w:t>
      </w:r>
      <w:r w:rsidRPr="009D0B4D">
        <w:rPr>
          <w:rFonts w:ascii="Arial" w:hAnsi="Arial" w:cs="Arial"/>
        </w:rPr>
        <w:t xml:space="preserve">, no uso de suas atribuições e consoante Resolução da Diretoria </w:t>
      </w:r>
      <w:r w:rsidR="006F7706" w:rsidRPr="009D0B4D">
        <w:rPr>
          <w:rFonts w:ascii="Arial" w:hAnsi="Arial" w:cs="Arial"/>
        </w:rPr>
        <w:t xml:space="preserve">Executiva </w:t>
      </w:r>
      <w:r w:rsidRPr="009D0B4D">
        <w:rPr>
          <w:rFonts w:ascii="Arial" w:hAnsi="Arial" w:cs="Arial"/>
        </w:rPr>
        <w:t xml:space="preserve">do BNDES, COMUNICA </w:t>
      </w:r>
      <w:r w:rsidR="0027344E" w:rsidRPr="009D0B4D">
        <w:rPr>
          <w:rFonts w:ascii="Arial" w:hAnsi="Arial" w:cs="Arial"/>
        </w:rPr>
        <w:t xml:space="preserve">às </w:t>
      </w:r>
      <w:r w:rsidR="004E1E0A" w:rsidRPr="009D0B4D">
        <w:rPr>
          <w:rFonts w:ascii="Arial" w:hAnsi="Arial" w:cs="Arial"/>
        </w:rPr>
        <w:t>INSTITUIÇÕES FINANCEIRAS CREDENCIADAS</w:t>
      </w:r>
      <w:r w:rsidRPr="009D0B4D">
        <w:rPr>
          <w:rFonts w:ascii="Arial" w:hAnsi="Arial" w:cs="Arial"/>
        </w:rPr>
        <w:t xml:space="preserve"> </w:t>
      </w:r>
      <w:r w:rsidR="00EA1496" w:rsidRPr="009D0B4D">
        <w:rPr>
          <w:rFonts w:ascii="Arial" w:hAnsi="Arial" w:cs="Arial"/>
        </w:rPr>
        <w:t xml:space="preserve">a </w:t>
      </w:r>
      <w:r w:rsidR="00B401A8">
        <w:rPr>
          <w:rFonts w:ascii="Arial" w:hAnsi="Arial" w:cs="Arial"/>
        </w:rPr>
        <w:t>alteração</w:t>
      </w:r>
      <w:r w:rsidR="00B401A8" w:rsidRPr="009D0B4D">
        <w:rPr>
          <w:rFonts w:ascii="Arial" w:hAnsi="Arial" w:cs="Arial"/>
        </w:rPr>
        <w:t xml:space="preserve"> </w:t>
      </w:r>
      <w:r w:rsidRPr="009D0B4D">
        <w:rPr>
          <w:rFonts w:ascii="Arial" w:hAnsi="Arial" w:cs="Arial"/>
        </w:rPr>
        <w:t>do Programa</w:t>
      </w:r>
      <w:r w:rsidR="000311DD" w:rsidRPr="009D0B4D">
        <w:rPr>
          <w:rFonts w:ascii="Arial" w:hAnsi="Arial" w:cs="Arial"/>
        </w:rPr>
        <w:t xml:space="preserve"> BNDES F</w:t>
      </w:r>
      <w:r w:rsidR="00286C88" w:rsidRPr="009D0B4D">
        <w:rPr>
          <w:rFonts w:ascii="Arial" w:hAnsi="Arial" w:cs="Arial"/>
        </w:rPr>
        <w:t>iname</w:t>
      </w:r>
      <w:r w:rsidR="000311DD" w:rsidRPr="009D0B4D">
        <w:rPr>
          <w:rFonts w:ascii="Arial" w:hAnsi="Arial" w:cs="Arial"/>
        </w:rPr>
        <w:t xml:space="preserve"> F</w:t>
      </w:r>
      <w:r w:rsidR="003B3AE3" w:rsidRPr="009D0B4D">
        <w:rPr>
          <w:rFonts w:ascii="Arial" w:hAnsi="Arial" w:cs="Arial"/>
        </w:rPr>
        <w:t>UST</w:t>
      </w:r>
      <w:r w:rsidR="00B401A8">
        <w:rPr>
          <w:rFonts w:ascii="Arial" w:hAnsi="Arial" w:cs="Arial"/>
        </w:rPr>
        <w:t xml:space="preserve"> para estabelecer que fica </w:t>
      </w:r>
      <w:r w:rsidR="00B401A8" w:rsidRPr="00B401A8">
        <w:rPr>
          <w:rFonts w:ascii="Arial" w:hAnsi="Arial" w:cs="Arial"/>
        </w:rPr>
        <w:t>vedado o financiamento, neste Programa, de equipamentos por meio de eventos de produção</w:t>
      </w:r>
      <w:r w:rsidR="0036487B" w:rsidRPr="009D0B4D">
        <w:rPr>
          <w:rFonts w:ascii="Arial" w:hAnsi="Arial" w:cs="Arial"/>
        </w:rPr>
        <w:t>.</w:t>
      </w:r>
    </w:p>
    <w:p w14:paraId="7F8AC2E2" w14:textId="5E11AE35" w:rsidR="00EA1496" w:rsidRPr="009D0B4D" w:rsidRDefault="00EA1496" w:rsidP="00F83D4F">
      <w:pPr>
        <w:keepNext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 w:rsidRPr="009D0B4D">
        <w:rPr>
          <w:rFonts w:ascii="Arial" w:hAnsi="Arial" w:cs="Arial"/>
        </w:rPr>
        <w:t>A seguir, são definidos os critérios, condições e procedimentos operacionais a serem observados no referido Programa.</w:t>
      </w:r>
    </w:p>
    <w:p w14:paraId="09635430" w14:textId="77777777" w:rsidR="00A606DA" w:rsidRPr="009D0B4D" w:rsidRDefault="00A606DA" w:rsidP="00ED5BB6">
      <w:pPr>
        <w:pStyle w:val="BNDES"/>
        <w:keepNext/>
        <w:numPr>
          <w:ilvl w:val="0"/>
          <w:numId w:val="8"/>
        </w:numPr>
        <w:tabs>
          <w:tab w:val="num" w:pos="142"/>
          <w:tab w:val="left" w:pos="426"/>
        </w:tabs>
        <w:spacing w:before="360" w:after="120"/>
        <w:ind w:left="426" w:hanging="426"/>
        <w:rPr>
          <w:b/>
        </w:rPr>
      </w:pPr>
      <w:r w:rsidRPr="009D0B4D">
        <w:rPr>
          <w:b/>
        </w:rPr>
        <w:t>OBJETIVO</w:t>
      </w:r>
    </w:p>
    <w:p w14:paraId="42A16CA9" w14:textId="463238A6" w:rsidR="00673D76" w:rsidRPr="009D0B4D" w:rsidRDefault="00FB3E20" w:rsidP="00ED5BB6">
      <w:pPr>
        <w:pStyle w:val="Corpodetexto"/>
        <w:keepNext/>
        <w:keepLines/>
        <w:tabs>
          <w:tab w:val="clear" w:pos="2977"/>
          <w:tab w:val="num" w:pos="1080"/>
        </w:tabs>
        <w:adjustRightInd w:val="0"/>
        <w:spacing w:line="240" w:lineRule="auto"/>
        <w:ind w:left="426"/>
        <w:textAlignment w:val="baseline"/>
        <w:rPr>
          <w:lang w:val="pt-BR"/>
        </w:rPr>
      </w:pPr>
      <w:r w:rsidRPr="009D0B4D">
        <w:rPr>
          <w:lang w:val="pt-BR"/>
        </w:rPr>
        <w:t>Financiar a aquisição de equipamentos de telecomunicações por sociedades empresárias prestadoras de serviços de telecomunicações, visando à expansão dos serviços de conectividade e ao fortalecimento de fornecedores locais de tecnologia</w:t>
      </w:r>
      <w:r w:rsidR="00E7504E" w:rsidRPr="009D0B4D">
        <w:rPr>
          <w:lang w:val="pt-BR"/>
        </w:rPr>
        <w:t>.</w:t>
      </w:r>
    </w:p>
    <w:p w14:paraId="45D26437" w14:textId="6A7EA643" w:rsidR="009E100B" w:rsidRPr="009D0B4D" w:rsidRDefault="009038F0" w:rsidP="00ED5BB6">
      <w:pPr>
        <w:pStyle w:val="BNDES"/>
        <w:keepNext/>
        <w:numPr>
          <w:ilvl w:val="0"/>
          <w:numId w:val="8"/>
        </w:numPr>
        <w:tabs>
          <w:tab w:val="num" w:pos="142"/>
          <w:tab w:val="left" w:pos="426"/>
        </w:tabs>
        <w:spacing w:before="360" w:after="120"/>
        <w:ind w:left="426" w:hanging="426"/>
        <w:rPr>
          <w:rFonts w:cs="Arial"/>
          <w:szCs w:val="24"/>
        </w:rPr>
      </w:pPr>
      <w:r>
        <w:rPr>
          <w:b/>
        </w:rPr>
        <w:t>CLIENTES FINAIS</w:t>
      </w:r>
    </w:p>
    <w:p w14:paraId="335B5D22" w14:textId="5FDB3781" w:rsidR="003243C5" w:rsidRPr="009D0B4D" w:rsidRDefault="003243C5" w:rsidP="00DA182E">
      <w:pPr>
        <w:pStyle w:val="BNDES"/>
        <w:spacing w:before="120" w:after="120"/>
        <w:ind w:left="426"/>
        <w:rPr>
          <w:rFonts w:cs="Arial"/>
          <w:color w:val="000000"/>
          <w:szCs w:val="24"/>
        </w:rPr>
      </w:pPr>
      <w:r w:rsidRPr="009D0B4D">
        <w:rPr>
          <w:rFonts w:cs="Arial"/>
          <w:color w:val="000000"/>
          <w:szCs w:val="24"/>
        </w:rPr>
        <w:t>Sociedades empresárias</w:t>
      </w:r>
      <w:r w:rsidR="009D0B4D" w:rsidRPr="009D0B4D">
        <w:rPr>
          <w:rFonts w:cs="Arial"/>
          <w:color w:val="000000"/>
          <w:szCs w:val="24"/>
        </w:rPr>
        <w:t xml:space="preserve"> provedoras de internet (CNAE J-61)</w:t>
      </w:r>
      <w:r w:rsidR="00AC008C" w:rsidRPr="009D0B4D">
        <w:rPr>
          <w:rFonts w:cs="Arial"/>
          <w:color w:val="000000"/>
          <w:szCs w:val="24"/>
        </w:rPr>
        <w:t xml:space="preserve">, </w:t>
      </w:r>
      <w:r w:rsidR="009D0B4D">
        <w:rPr>
          <w:rFonts w:cs="Arial"/>
          <w:color w:val="000000"/>
          <w:szCs w:val="24"/>
        </w:rPr>
        <w:t>classificadas, por porte, como Micro, Pequena ou Média Empresa</w:t>
      </w:r>
      <w:r w:rsidR="006631BB">
        <w:rPr>
          <w:rFonts w:cs="Arial"/>
          <w:color w:val="000000"/>
          <w:szCs w:val="24"/>
        </w:rPr>
        <w:t xml:space="preserve"> (I e II)</w:t>
      </w:r>
      <w:r w:rsidR="009D0B4D" w:rsidRPr="009D0B4D">
        <w:rPr>
          <w:rFonts w:cs="Arial"/>
          <w:color w:val="000000"/>
          <w:szCs w:val="24"/>
        </w:rPr>
        <w:t xml:space="preserve">, constituídas sob as leis brasileiras e com sede e administração no </w:t>
      </w:r>
      <w:r w:rsidR="004154AB">
        <w:rPr>
          <w:rFonts w:cs="Arial"/>
          <w:color w:val="000000"/>
          <w:szCs w:val="24"/>
        </w:rPr>
        <w:t>P</w:t>
      </w:r>
      <w:r w:rsidR="009D0B4D" w:rsidRPr="009D0B4D">
        <w:rPr>
          <w:rFonts w:cs="Arial"/>
          <w:color w:val="000000"/>
          <w:szCs w:val="24"/>
        </w:rPr>
        <w:t>aís</w:t>
      </w:r>
      <w:r w:rsidR="009D0B4D">
        <w:rPr>
          <w:rFonts w:cs="Arial"/>
          <w:color w:val="000000"/>
          <w:szCs w:val="24"/>
        </w:rPr>
        <w:t>.</w:t>
      </w:r>
    </w:p>
    <w:p w14:paraId="72DAFEF5" w14:textId="77777777" w:rsidR="00A606DA" w:rsidRPr="009D0B4D" w:rsidRDefault="00A606DA" w:rsidP="00ED5BB6">
      <w:pPr>
        <w:pStyle w:val="BNDES"/>
        <w:keepNext/>
        <w:numPr>
          <w:ilvl w:val="0"/>
          <w:numId w:val="8"/>
        </w:numPr>
        <w:tabs>
          <w:tab w:val="num" w:pos="142"/>
          <w:tab w:val="left" w:pos="426"/>
        </w:tabs>
        <w:spacing w:before="360" w:after="120"/>
        <w:ind w:left="426" w:hanging="426"/>
        <w:rPr>
          <w:b/>
        </w:rPr>
      </w:pPr>
      <w:r w:rsidRPr="009D0B4D">
        <w:rPr>
          <w:b/>
        </w:rPr>
        <w:t xml:space="preserve">ITENS </w:t>
      </w:r>
      <w:r w:rsidR="00947CD3" w:rsidRPr="009D0B4D">
        <w:rPr>
          <w:b/>
        </w:rPr>
        <w:t>APOIÁVEIS</w:t>
      </w:r>
    </w:p>
    <w:p w14:paraId="5673EED2" w14:textId="78204C37" w:rsidR="00AE7DD4" w:rsidRPr="009D0B4D" w:rsidRDefault="00FB3C28" w:rsidP="006A7846">
      <w:pPr>
        <w:pStyle w:val="BNDES"/>
        <w:numPr>
          <w:ilvl w:val="1"/>
          <w:numId w:val="8"/>
        </w:numPr>
        <w:tabs>
          <w:tab w:val="clear" w:pos="1080"/>
          <w:tab w:val="num" w:pos="993"/>
        </w:tabs>
        <w:spacing w:before="120" w:after="120"/>
        <w:ind w:left="993" w:hanging="567"/>
        <w:rPr>
          <w:rFonts w:cs="Arial"/>
          <w:color w:val="000000"/>
          <w:szCs w:val="24"/>
        </w:rPr>
      </w:pPr>
      <w:r w:rsidRPr="009D0B4D">
        <w:rPr>
          <w:rFonts w:cs="Arial"/>
          <w:color w:val="000000"/>
          <w:szCs w:val="24"/>
        </w:rPr>
        <w:t>São financiáveis no</w:t>
      </w:r>
      <w:r w:rsidR="004154AB">
        <w:rPr>
          <w:rFonts w:cs="Arial"/>
          <w:color w:val="000000"/>
          <w:szCs w:val="24"/>
        </w:rPr>
        <w:t xml:space="preserve"> âmbito do</w:t>
      </w:r>
      <w:r w:rsidRPr="009D0B4D">
        <w:rPr>
          <w:rFonts w:cs="Arial"/>
          <w:color w:val="000000"/>
          <w:szCs w:val="24"/>
        </w:rPr>
        <w:t xml:space="preserve"> BNDES Finame </w:t>
      </w:r>
      <w:r w:rsidR="009D0B4D">
        <w:rPr>
          <w:rFonts w:cs="Arial"/>
          <w:color w:val="000000"/>
          <w:szCs w:val="24"/>
        </w:rPr>
        <w:t>FUST</w:t>
      </w:r>
      <w:r w:rsidRPr="009D0B4D">
        <w:rPr>
          <w:rFonts w:cs="Arial"/>
          <w:color w:val="000000"/>
          <w:szCs w:val="24"/>
        </w:rPr>
        <w:t xml:space="preserve"> os seguintes itens</w:t>
      </w:r>
      <w:r w:rsidR="00AE7DD4" w:rsidRPr="009D0B4D">
        <w:rPr>
          <w:rFonts w:cs="Arial"/>
          <w:color w:val="000000"/>
          <w:szCs w:val="24"/>
        </w:rPr>
        <w:t>:</w:t>
      </w:r>
    </w:p>
    <w:p w14:paraId="389DC4D5" w14:textId="10774140" w:rsidR="00D22AEA" w:rsidRPr="009D0B4D" w:rsidRDefault="00D22AEA" w:rsidP="00F83D4F">
      <w:pPr>
        <w:pStyle w:val="BNDES"/>
        <w:numPr>
          <w:ilvl w:val="2"/>
          <w:numId w:val="29"/>
        </w:numPr>
        <w:spacing w:before="120" w:after="120"/>
        <w:ind w:left="1701" w:hanging="708"/>
        <w:rPr>
          <w:rFonts w:cs="Arial"/>
          <w:color w:val="000000"/>
          <w:szCs w:val="24"/>
        </w:rPr>
      </w:pPr>
      <w:r w:rsidRPr="009D0B4D">
        <w:rPr>
          <w:rFonts w:cs="Arial"/>
          <w:color w:val="000000"/>
          <w:szCs w:val="24"/>
        </w:rPr>
        <w:t>Equipamentos de telecomunicações que pertençam à posição NCM 85.17</w:t>
      </w:r>
      <w:r w:rsidR="00B94095">
        <w:rPr>
          <w:rFonts w:cs="Arial"/>
          <w:color w:val="000000"/>
          <w:szCs w:val="24"/>
        </w:rPr>
        <w:t>;</w:t>
      </w:r>
    </w:p>
    <w:p w14:paraId="1794F15A" w14:textId="5B402DC5" w:rsidR="00D22AEA" w:rsidRPr="009D0B4D" w:rsidRDefault="00B94095" w:rsidP="00F83D4F">
      <w:pPr>
        <w:pStyle w:val="BNDES"/>
        <w:numPr>
          <w:ilvl w:val="2"/>
          <w:numId w:val="29"/>
        </w:numPr>
        <w:spacing w:before="120" w:after="120"/>
        <w:ind w:left="1701" w:hanging="708"/>
        <w:rPr>
          <w:rFonts w:cs="Arial"/>
          <w:color w:val="000000"/>
          <w:szCs w:val="24"/>
        </w:rPr>
      </w:pPr>
      <w:r w:rsidRPr="00B94095">
        <w:rPr>
          <w:rFonts w:cs="Arial"/>
          <w:color w:val="000000"/>
          <w:szCs w:val="24"/>
        </w:rPr>
        <w:t>Cabos de fibra óptica que pertençam à posição NCM 8544.70</w:t>
      </w:r>
      <w:r>
        <w:rPr>
          <w:rFonts w:cs="Arial"/>
          <w:color w:val="000000"/>
          <w:szCs w:val="24"/>
        </w:rPr>
        <w:t>; e</w:t>
      </w:r>
    </w:p>
    <w:p w14:paraId="23B12353" w14:textId="0B8D5355" w:rsidR="00490ECF" w:rsidRPr="009D0B4D" w:rsidRDefault="00490ECF" w:rsidP="00DA182E">
      <w:pPr>
        <w:pStyle w:val="BNDES"/>
        <w:numPr>
          <w:ilvl w:val="2"/>
          <w:numId w:val="29"/>
        </w:numPr>
        <w:spacing w:before="120" w:after="120"/>
        <w:ind w:left="1701" w:hanging="708"/>
        <w:rPr>
          <w:rFonts w:cs="Arial"/>
          <w:color w:val="000000"/>
          <w:szCs w:val="24"/>
        </w:rPr>
      </w:pPr>
      <w:r w:rsidRPr="009D0B4D">
        <w:rPr>
          <w:rFonts w:cs="Arial"/>
          <w:color w:val="000000"/>
          <w:szCs w:val="24"/>
        </w:rPr>
        <w:t>Capital de giro associado</w:t>
      </w:r>
      <w:r w:rsidR="00B94095">
        <w:rPr>
          <w:rFonts w:cs="Arial"/>
          <w:color w:val="000000"/>
          <w:szCs w:val="24"/>
        </w:rPr>
        <w:t>,</w:t>
      </w:r>
      <w:r w:rsidRPr="009D0B4D">
        <w:rPr>
          <w:rFonts w:cs="Arial"/>
          <w:color w:val="000000"/>
          <w:szCs w:val="24"/>
        </w:rPr>
        <w:t xml:space="preserve"> limitado a 30% (trinta por cento) do valor total do financiamento.</w:t>
      </w:r>
    </w:p>
    <w:p w14:paraId="5DA4F467" w14:textId="77777777" w:rsidR="00391DB5" w:rsidRPr="002A6048" w:rsidRDefault="00391DB5" w:rsidP="00F83D4F">
      <w:pPr>
        <w:pStyle w:val="BNDES"/>
        <w:numPr>
          <w:ilvl w:val="1"/>
          <w:numId w:val="8"/>
        </w:numPr>
        <w:tabs>
          <w:tab w:val="clear" w:pos="1080"/>
          <w:tab w:val="num" w:pos="993"/>
        </w:tabs>
        <w:spacing w:before="120" w:after="120"/>
        <w:ind w:left="993" w:hanging="567"/>
        <w:rPr>
          <w:rFonts w:cs="Arial"/>
          <w:szCs w:val="24"/>
        </w:rPr>
      </w:pPr>
      <w:r w:rsidRPr="002A6048">
        <w:t>A</w:t>
      </w:r>
      <w:r w:rsidR="00814948" w:rsidRPr="002A6048">
        <w:t>pena</w:t>
      </w:r>
      <w:r w:rsidRPr="002A6048">
        <w:t xml:space="preserve">s </w:t>
      </w:r>
      <w:r w:rsidR="0081058A" w:rsidRPr="002A6048">
        <w:t xml:space="preserve">itens </w:t>
      </w:r>
      <w:r w:rsidRPr="002A6048">
        <w:t>novos consta</w:t>
      </w:r>
      <w:r w:rsidR="00814948" w:rsidRPr="002A6048">
        <w:t>ntes</w:t>
      </w:r>
      <w:r w:rsidRPr="002A6048">
        <w:t xml:space="preserve"> do Credenciamento Finame (CFI) do Sistema BNDES, disponível no endereço eletrônico </w:t>
      </w:r>
      <w:r w:rsidRPr="002A6048">
        <w:rPr>
          <w:b/>
          <w:u w:val="single"/>
        </w:rPr>
        <w:t>www.bndes.gov.br</w:t>
      </w:r>
      <w:r w:rsidRPr="002A6048">
        <w:t xml:space="preserve">, </w:t>
      </w:r>
      <w:r w:rsidRPr="003826F8">
        <w:t>como passíveis de apoio neste Programa</w:t>
      </w:r>
      <w:r w:rsidR="00814948" w:rsidRPr="003826F8">
        <w:t>, poderão ser financiados</w:t>
      </w:r>
      <w:r w:rsidRPr="003826F8">
        <w:t>.</w:t>
      </w:r>
    </w:p>
    <w:p w14:paraId="0CA2FA14" w14:textId="77777777" w:rsidR="00A606DA" w:rsidRPr="009D0B4D" w:rsidRDefault="00A606DA" w:rsidP="00ED5BB6">
      <w:pPr>
        <w:pStyle w:val="BNDES"/>
        <w:keepNext/>
        <w:numPr>
          <w:ilvl w:val="0"/>
          <w:numId w:val="8"/>
        </w:numPr>
        <w:tabs>
          <w:tab w:val="num" w:pos="142"/>
          <w:tab w:val="left" w:pos="426"/>
        </w:tabs>
        <w:spacing w:before="360" w:after="120"/>
        <w:ind w:left="426" w:hanging="426"/>
        <w:rPr>
          <w:b/>
        </w:rPr>
      </w:pPr>
      <w:r w:rsidRPr="009D0B4D">
        <w:rPr>
          <w:b/>
        </w:rPr>
        <w:lastRenderedPageBreak/>
        <w:t>CONDIÇÕES DE FINANCIAMENTO</w:t>
      </w:r>
    </w:p>
    <w:p w14:paraId="63607FDF" w14:textId="3B9DF77D" w:rsidR="00A606DA" w:rsidRPr="009D0B4D" w:rsidRDefault="00A606DA" w:rsidP="00227C00">
      <w:pPr>
        <w:pStyle w:val="BNDES"/>
        <w:keepLines/>
        <w:widowControl w:val="0"/>
        <w:tabs>
          <w:tab w:val="left" w:pos="567"/>
        </w:tabs>
        <w:spacing w:before="120" w:after="120"/>
        <w:ind w:left="425"/>
        <w:rPr>
          <w:bCs/>
        </w:rPr>
      </w:pPr>
      <w:r w:rsidRPr="009D0B4D">
        <w:rPr>
          <w:bCs/>
        </w:rPr>
        <w:t xml:space="preserve">Nos financiamentos concedidos no Programa </w:t>
      </w:r>
      <w:r w:rsidR="0070144E" w:rsidRPr="009D0B4D">
        <w:rPr>
          <w:bCs/>
        </w:rPr>
        <w:t>BNDES F</w:t>
      </w:r>
      <w:r w:rsidR="00617339" w:rsidRPr="009D0B4D">
        <w:rPr>
          <w:bCs/>
        </w:rPr>
        <w:t>iname</w:t>
      </w:r>
      <w:r w:rsidR="0070144E" w:rsidRPr="009D0B4D">
        <w:rPr>
          <w:bCs/>
        </w:rPr>
        <w:t xml:space="preserve"> </w:t>
      </w:r>
      <w:r w:rsidR="00B94095">
        <w:rPr>
          <w:bCs/>
        </w:rPr>
        <w:t>FUST</w:t>
      </w:r>
      <w:r w:rsidRPr="009D0B4D">
        <w:rPr>
          <w:bCs/>
        </w:rPr>
        <w:t xml:space="preserve">, deverão ser seguidas as condições estabelecidas nos itens </w:t>
      </w:r>
      <w:r w:rsidR="00947CD3" w:rsidRPr="009D0B4D">
        <w:rPr>
          <w:bCs/>
        </w:rPr>
        <w:t>4</w:t>
      </w:r>
      <w:r w:rsidRPr="009D0B4D">
        <w:rPr>
          <w:bCs/>
        </w:rPr>
        <w:t xml:space="preserve">.1 a </w:t>
      </w:r>
      <w:r w:rsidR="00947CD3" w:rsidRPr="009D0B4D">
        <w:rPr>
          <w:bCs/>
        </w:rPr>
        <w:t>4</w:t>
      </w:r>
      <w:r w:rsidRPr="009D0B4D">
        <w:rPr>
          <w:bCs/>
        </w:rPr>
        <w:t>.</w:t>
      </w:r>
      <w:r w:rsidR="00947CD3" w:rsidRPr="009D0B4D">
        <w:rPr>
          <w:bCs/>
        </w:rPr>
        <w:t>5</w:t>
      </w:r>
      <w:r w:rsidRPr="009D0B4D">
        <w:rPr>
          <w:bCs/>
        </w:rPr>
        <w:t>.</w:t>
      </w:r>
    </w:p>
    <w:p w14:paraId="0816671B" w14:textId="1BCD3455" w:rsidR="00286C88" w:rsidRPr="009D0B4D" w:rsidRDefault="00286C88" w:rsidP="00F83D4F">
      <w:pPr>
        <w:pStyle w:val="BNDES"/>
        <w:widowControl w:val="0"/>
        <w:tabs>
          <w:tab w:val="left" w:pos="567"/>
        </w:tabs>
        <w:spacing w:before="120" w:after="120"/>
        <w:ind w:left="425"/>
        <w:rPr>
          <w:bCs/>
        </w:rPr>
      </w:pPr>
      <w:r w:rsidRPr="009D0B4D">
        <w:rPr>
          <w:rFonts w:cs="Arial"/>
          <w:szCs w:val="24"/>
        </w:rPr>
        <w:t xml:space="preserve">A Condição Operacional Vigente definida para o Programa neste item é representada pelo código </w:t>
      </w:r>
      <w:r w:rsidRPr="000C75B1">
        <w:rPr>
          <w:rFonts w:cs="Arial"/>
          <w:b/>
          <w:szCs w:val="24"/>
        </w:rPr>
        <w:t>BNDES</w:t>
      </w:r>
      <w:r w:rsidR="009114C2" w:rsidRPr="000C75B1">
        <w:rPr>
          <w:rFonts w:cs="Arial"/>
          <w:b/>
          <w:szCs w:val="24"/>
        </w:rPr>
        <w:t xml:space="preserve"> FINAME </w:t>
      </w:r>
      <w:r w:rsidRPr="000C75B1">
        <w:rPr>
          <w:rFonts w:cs="Arial"/>
          <w:b/>
          <w:szCs w:val="24"/>
        </w:rPr>
        <w:t>FU</w:t>
      </w:r>
      <w:r w:rsidR="00B94095" w:rsidRPr="000C75B1">
        <w:rPr>
          <w:rFonts w:cs="Arial"/>
          <w:b/>
          <w:szCs w:val="24"/>
        </w:rPr>
        <w:t>ST</w:t>
      </w:r>
      <w:r w:rsidRPr="009D0B4D">
        <w:rPr>
          <w:rFonts w:cs="Arial"/>
          <w:szCs w:val="24"/>
        </w:rPr>
        <w:t>.</w:t>
      </w:r>
    </w:p>
    <w:p w14:paraId="5E7E2929" w14:textId="77777777" w:rsidR="00A606DA" w:rsidRPr="009D0B4D" w:rsidRDefault="00A606DA" w:rsidP="00ED5BB6">
      <w:pPr>
        <w:pStyle w:val="BNDES"/>
        <w:keepNext/>
        <w:numPr>
          <w:ilvl w:val="1"/>
          <w:numId w:val="8"/>
        </w:numPr>
        <w:tabs>
          <w:tab w:val="clear" w:pos="1080"/>
          <w:tab w:val="num" w:pos="993"/>
        </w:tabs>
        <w:spacing w:before="120" w:after="120"/>
        <w:ind w:left="993" w:hanging="567"/>
      </w:pPr>
      <w:r w:rsidRPr="009D0B4D">
        <w:rPr>
          <w:b/>
        </w:rPr>
        <w:t>Taxa de Juros:</w:t>
      </w:r>
      <w:r w:rsidRPr="009D0B4D">
        <w:t xml:space="preserve"> </w:t>
      </w:r>
    </w:p>
    <w:p w14:paraId="246CC262" w14:textId="62DD690B" w:rsidR="00B4375C" w:rsidRPr="003826F8" w:rsidRDefault="004C0D1E" w:rsidP="004C0D1E">
      <w:pPr>
        <w:pStyle w:val="BNDES"/>
        <w:keepNext/>
        <w:numPr>
          <w:ilvl w:val="2"/>
          <w:numId w:val="8"/>
        </w:numPr>
        <w:tabs>
          <w:tab w:val="clear" w:pos="1440"/>
        </w:tabs>
        <w:spacing w:before="120" w:after="120"/>
        <w:ind w:left="1701" w:hanging="708"/>
      </w:pPr>
      <w:r w:rsidRPr="009D0B4D">
        <w:rPr>
          <w:b/>
        </w:rPr>
        <w:t>Custo Financeiro:</w:t>
      </w:r>
    </w:p>
    <w:p w14:paraId="28FDE622" w14:textId="6313A595" w:rsidR="004E77CB" w:rsidRDefault="004C0D1E" w:rsidP="00B4375C">
      <w:pPr>
        <w:pStyle w:val="BNDES"/>
        <w:keepNext/>
        <w:numPr>
          <w:ilvl w:val="0"/>
          <w:numId w:val="34"/>
        </w:numPr>
        <w:spacing w:before="120" w:after="120"/>
      </w:pPr>
      <w:r w:rsidRPr="009D0B4D">
        <w:t xml:space="preserve">Taxa Referencial – </w:t>
      </w:r>
      <w:r w:rsidRPr="009D0B4D">
        <w:rPr>
          <w:b/>
        </w:rPr>
        <w:t>TR</w:t>
      </w:r>
      <w:r w:rsidR="00B4375C">
        <w:t>; ou</w:t>
      </w:r>
    </w:p>
    <w:p w14:paraId="243A9109" w14:textId="59C60D1C" w:rsidR="00B4375C" w:rsidRPr="003826F8" w:rsidRDefault="00B4375C" w:rsidP="003826F8">
      <w:pPr>
        <w:pStyle w:val="BNDES"/>
        <w:keepNext/>
        <w:numPr>
          <w:ilvl w:val="0"/>
          <w:numId w:val="34"/>
        </w:numPr>
        <w:spacing w:before="120" w:after="120"/>
      </w:pPr>
      <w:r w:rsidRPr="00B4375C">
        <w:t>Taxa Fixa baseada em TR</w:t>
      </w:r>
      <w:r w:rsidR="006631BB" w:rsidRPr="006631BB">
        <w:t xml:space="preserve"> </w:t>
      </w:r>
      <w:r w:rsidR="006631BB" w:rsidRPr="009D0B4D">
        <w:t xml:space="preserve">– </w:t>
      </w:r>
      <w:r w:rsidR="006631BB" w:rsidRPr="003826F8">
        <w:rPr>
          <w:b/>
          <w:bCs/>
        </w:rPr>
        <w:t>TF</w:t>
      </w:r>
      <w:r w:rsidR="00506641" w:rsidRPr="003826F8">
        <w:rPr>
          <w:b/>
          <w:bCs/>
        </w:rPr>
        <w:t>B</w:t>
      </w:r>
      <w:r w:rsidR="006631BB" w:rsidRPr="003826F8">
        <w:rPr>
          <w:b/>
        </w:rPr>
        <w:t>TR</w:t>
      </w:r>
      <w:r w:rsidRPr="003826F8">
        <w:t>.</w:t>
      </w:r>
    </w:p>
    <w:p w14:paraId="2F7270D5" w14:textId="195D19CE" w:rsidR="004C0D1E" w:rsidRPr="003826F8" w:rsidRDefault="004C0D1E" w:rsidP="00F83D4F">
      <w:pPr>
        <w:pStyle w:val="BNDES"/>
        <w:numPr>
          <w:ilvl w:val="2"/>
          <w:numId w:val="8"/>
        </w:numPr>
        <w:tabs>
          <w:tab w:val="clear" w:pos="1440"/>
        </w:tabs>
        <w:spacing w:before="120" w:after="120"/>
        <w:ind w:left="1701" w:hanging="708"/>
      </w:pPr>
      <w:r w:rsidRPr="003826F8">
        <w:rPr>
          <w:b/>
        </w:rPr>
        <w:t>Remuneração do BNDES:</w:t>
      </w:r>
      <w:r w:rsidRPr="003826F8">
        <w:t xml:space="preserve"> 1,</w:t>
      </w:r>
      <w:r w:rsidR="006F599D" w:rsidRPr="003826F8">
        <w:t>4</w:t>
      </w:r>
      <w:r w:rsidR="002239A3" w:rsidRPr="003826F8">
        <w:t>5</w:t>
      </w:r>
      <w:r w:rsidRPr="003826F8">
        <w:t xml:space="preserve">% a.a. (um inteiro e </w:t>
      </w:r>
      <w:r w:rsidR="006F599D" w:rsidRPr="003826F8">
        <w:t xml:space="preserve">quarenta </w:t>
      </w:r>
      <w:r w:rsidR="002239A3" w:rsidRPr="003826F8">
        <w:t xml:space="preserve">e </w:t>
      </w:r>
      <w:r w:rsidRPr="003826F8">
        <w:t xml:space="preserve">cinco </w:t>
      </w:r>
      <w:r w:rsidR="002239A3" w:rsidRPr="003826F8">
        <w:t>centésimos</w:t>
      </w:r>
      <w:r w:rsidRPr="003826F8">
        <w:t xml:space="preserve"> por cento ao ano)</w:t>
      </w:r>
      <w:r w:rsidR="004E77CB" w:rsidRPr="003826F8">
        <w:t>.</w:t>
      </w:r>
    </w:p>
    <w:p w14:paraId="545F63FC" w14:textId="0DB3D588" w:rsidR="005433FD" w:rsidRPr="003826F8" w:rsidRDefault="00947CD3" w:rsidP="00F83D4F">
      <w:pPr>
        <w:pStyle w:val="BNDES"/>
        <w:numPr>
          <w:ilvl w:val="2"/>
          <w:numId w:val="8"/>
        </w:numPr>
        <w:tabs>
          <w:tab w:val="clear" w:pos="1440"/>
        </w:tabs>
        <w:spacing w:before="120" w:after="120"/>
        <w:ind w:left="1701" w:hanging="708"/>
      </w:pPr>
      <w:r w:rsidRPr="003826F8">
        <w:rPr>
          <w:b/>
        </w:rPr>
        <w:t>Remuneração da Instituição Financeira Credenciada</w:t>
      </w:r>
      <w:r w:rsidR="005433FD" w:rsidRPr="003826F8">
        <w:rPr>
          <w:b/>
        </w:rPr>
        <w:t>:</w:t>
      </w:r>
      <w:r w:rsidR="00B95B00" w:rsidRPr="003826F8">
        <w:t xml:space="preserve"> </w:t>
      </w:r>
      <w:r w:rsidR="00211234" w:rsidRPr="003826F8">
        <w:t xml:space="preserve">até </w:t>
      </w:r>
      <w:r w:rsidR="006F599D" w:rsidRPr="003826F8">
        <w:t>7</w:t>
      </w:r>
      <w:r w:rsidR="00586025" w:rsidRPr="003826F8">
        <w:t>% a.a. (</w:t>
      </w:r>
      <w:r w:rsidR="006F599D" w:rsidRPr="003826F8">
        <w:t>sete</w:t>
      </w:r>
      <w:r w:rsidR="00586025" w:rsidRPr="003826F8">
        <w:t xml:space="preserve"> por cento ao ano)</w:t>
      </w:r>
      <w:r w:rsidRPr="003826F8">
        <w:t>.</w:t>
      </w:r>
    </w:p>
    <w:p w14:paraId="6A8B94C2" w14:textId="77777777" w:rsidR="00A606DA" w:rsidRPr="003826F8" w:rsidRDefault="00A606DA" w:rsidP="00ED5BB6">
      <w:pPr>
        <w:pStyle w:val="BNDES"/>
        <w:keepNext/>
        <w:numPr>
          <w:ilvl w:val="1"/>
          <w:numId w:val="8"/>
        </w:numPr>
        <w:tabs>
          <w:tab w:val="clear" w:pos="1080"/>
          <w:tab w:val="num" w:pos="993"/>
        </w:tabs>
        <w:spacing w:before="120" w:after="120"/>
        <w:ind w:left="993" w:hanging="567"/>
        <w:rPr>
          <w:b/>
        </w:rPr>
      </w:pPr>
      <w:r w:rsidRPr="003826F8">
        <w:rPr>
          <w:b/>
        </w:rPr>
        <w:t>Prazo</w:t>
      </w:r>
      <w:r w:rsidR="00C80DCD" w:rsidRPr="003826F8">
        <w:rPr>
          <w:b/>
        </w:rPr>
        <w:t xml:space="preserve"> Tota</w:t>
      </w:r>
      <w:r w:rsidR="00947CD3" w:rsidRPr="003826F8">
        <w:rPr>
          <w:b/>
        </w:rPr>
        <w:t>l</w:t>
      </w:r>
      <w:r w:rsidRPr="003826F8">
        <w:rPr>
          <w:b/>
        </w:rPr>
        <w:t>:</w:t>
      </w:r>
    </w:p>
    <w:p w14:paraId="07D6CAFE" w14:textId="7BB3401A" w:rsidR="00A223DE" w:rsidRPr="003826F8" w:rsidRDefault="008122CE" w:rsidP="00F83D4F">
      <w:pPr>
        <w:pStyle w:val="BNDES"/>
        <w:spacing w:before="120" w:after="120"/>
        <w:ind w:left="992"/>
      </w:pPr>
      <w:r w:rsidRPr="003826F8">
        <w:t>Até 10 (dez) anos, incluído até 2 (dois) anos de carência.</w:t>
      </w:r>
      <w:r w:rsidR="009C1D26" w:rsidRPr="003826F8">
        <w:t xml:space="preserve"> </w:t>
      </w:r>
      <w:r w:rsidR="009C1D26" w:rsidRPr="003826F8">
        <w:rPr>
          <w:rFonts w:cs="Arial"/>
          <w:szCs w:val="24"/>
        </w:rPr>
        <w:t xml:space="preserve">Nas operações realizadas </w:t>
      </w:r>
      <w:r w:rsidR="008549D4" w:rsidRPr="003826F8">
        <w:rPr>
          <w:rFonts w:cs="Arial"/>
          <w:szCs w:val="24"/>
        </w:rPr>
        <w:t>com TF</w:t>
      </w:r>
      <w:r w:rsidR="00506641" w:rsidRPr="003826F8">
        <w:rPr>
          <w:rFonts w:cs="Arial"/>
          <w:szCs w:val="24"/>
        </w:rPr>
        <w:t>B</w:t>
      </w:r>
      <w:r w:rsidR="009C1D26" w:rsidRPr="003826F8">
        <w:rPr>
          <w:rFonts w:cs="Arial"/>
          <w:szCs w:val="24"/>
        </w:rPr>
        <w:t>TR, o prazo de carência não poderá ser superior a 12 (doze) meses.</w:t>
      </w:r>
    </w:p>
    <w:p w14:paraId="5636370E" w14:textId="77777777" w:rsidR="00A606DA" w:rsidRPr="003826F8" w:rsidRDefault="00947CD3" w:rsidP="00ED5BB6">
      <w:pPr>
        <w:pStyle w:val="BNDES"/>
        <w:keepNext/>
        <w:numPr>
          <w:ilvl w:val="1"/>
          <w:numId w:val="8"/>
        </w:numPr>
        <w:tabs>
          <w:tab w:val="clear" w:pos="1080"/>
          <w:tab w:val="num" w:pos="993"/>
        </w:tabs>
        <w:spacing w:before="120" w:after="120"/>
        <w:ind w:left="993" w:hanging="567"/>
        <w:rPr>
          <w:b/>
        </w:rPr>
      </w:pPr>
      <w:r w:rsidRPr="003826F8">
        <w:rPr>
          <w:b/>
        </w:rPr>
        <w:t>Periodicidade de Pagamentos</w:t>
      </w:r>
      <w:r w:rsidR="00A606DA" w:rsidRPr="003826F8">
        <w:rPr>
          <w:b/>
        </w:rPr>
        <w:t xml:space="preserve">: </w:t>
      </w:r>
    </w:p>
    <w:p w14:paraId="78EB0A8B" w14:textId="63B889C8" w:rsidR="00F86B5B" w:rsidRPr="003826F8" w:rsidRDefault="00A606DA" w:rsidP="00F83D4F">
      <w:pPr>
        <w:pStyle w:val="BNDES"/>
        <w:numPr>
          <w:ilvl w:val="2"/>
          <w:numId w:val="8"/>
        </w:numPr>
        <w:tabs>
          <w:tab w:val="clear" w:pos="1440"/>
        </w:tabs>
        <w:spacing w:before="120" w:after="120"/>
        <w:ind w:left="1701" w:hanging="709"/>
      </w:pPr>
      <w:r w:rsidRPr="003826F8">
        <w:t xml:space="preserve">A periodicidade de pagamento do principal poderá ser </w:t>
      </w:r>
      <w:r w:rsidR="00053194" w:rsidRPr="003826F8">
        <w:t>mensal</w:t>
      </w:r>
      <w:r w:rsidR="005F358E" w:rsidRPr="003826F8">
        <w:t xml:space="preserve">, </w:t>
      </w:r>
      <w:r w:rsidR="00053194" w:rsidRPr="003826F8">
        <w:t>semestral</w:t>
      </w:r>
      <w:r w:rsidRPr="003826F8">
        <w:t xml:space="preserve"> ou </w:t>
      </w:r>
      <w:r w:rsidR="00053194" w:rsidRPr="003826F8">
        <w:t>anual</w:t>
      </w:r>
      <w:r w:rsidR="00B47B09" w:rsidRPr="003826F8">
        <w:t xml:space="preserve">, devendo ser definida </w:t>
      </w:r>
      <w:r w:rsidR="007C216D" w:rsidRPr="003826F8">
        <w:t>pela Instituição Financeira Credenciada</w:t>
      </w:r>
      <w:r w:rsidR="009E6BB1">
        <w:t>,</w:t>
      </w:r>
      <w:r w:rsidR="00B47B09" w:rsidRPr="003826F8">
        <w:t xml:space="preserve"> de acordo com </w:t>
      </w:r>
      <w:r w:rsidR="005966CE" w:rsidRPr="003826F8">
        <w:t>o fluxo de receitas</w:t>
      </w:r>
      <w:r w:rsidR="00052133" w:rsidRPr="003826F8">
        <w:t xml:space="preserve"> d</w:t>
      </w:r>
      <w:r w:rsidR="009E6BB1">
        <w:t>o Cliente</w:t>
      </w:r>
      <w:r w:rsidR="00052133" w:rsidRPr="003826F8">
        <w:t xml:space="preserve"> Final</w:t>
      </w:r>
      <w:r w:rsidR="0088042D" w:rsidRPr="003826F8">
        <w:t>.</w:t>
      </w:r>
    </w:p>
    <w:p w14:paraId="6C007D5D" w14:textId="77777777" w:rsidR="001245E7" w:rsidRPr="003826F8" w:rsidRDefault="005966CE" w:rsidP="00F83D4F">
      <w:pPr>
        <w:pStyle w:val="BNDES"/>
        <w:numPr>
          <w:ilvl w:val="2"/>
          <w:numId w:val="8"/>
        </w:numPr>
        <w:tabs>
          <w:tab w:val="clear" w:pos="1440"/>
        </w:tabs>
        <w:spacing w:before="120" w:after="120"/>
        <w:ind w:left="1701" w:hanging="709"/>
      </w:pPr>
      <w:r w:rsidRPr="003826F8">
        <w:t>Durante a fase de carência, os</w:t>
      </w:r>
      <w:r w:rsidR="00C22F62" w:rsidRPr="003826F8">
        <w:t xml:space="preserve"> juros </w:t>
      </w:r>
      <w:r w:rsidRPr="003826F8">
        <w:t xml:space="preserve">deverão ser pagos com periodicidade </w:t>
      </w:r>
      <w:r w:rsidR="00C22F62" w:rsidRPr="003826F8">
        <w:rPr>
          <w:rFonts w:cs="Arial"/>
          <w:szCs w:val="24"/>
        </w:rPr>
        <w:t>trimestral, semestral ou anual</w:t>
      </w:r>
      <w:r w:rsidR="008122CE" w:rsidRPr="003826F8">
        <w:rPr>
          <w:rFonts w:cs="Arial"/>
          <w:szCs w:val="24"/>
        </w:rPr>
        <w:t>.</w:t>
      </w:r>
    </w:p>
    <w:p w14:paraId="69D65730" w14:textId="77777777" w:rsidR="005E34F7" w:rsidRPr="003826F8" w:rsidRDefault="005E34F7" w:rsidP="00F83D4F">
      <w:pPr>
        <w:pStyle w:val="BNDES"/>
        <w:numPr>
          <w:ilvl w:val="2"/>
          <w:numId w:val="8"/>
        </w:numPr>
        <w:tabs>
          <w:tab w:val="clear" w:pos="1440"/>
        </w:tabs>
        <w:spacing w:before="120" w:after="120"/>
        <w:ind w:left="1701" w:hanging="709"/>
      </w:pPr>
      <w:r w:rsidRPr="003826F8">
        <w:t>Durante a fase de amortização, os juros serão pagos juntamente com</w:t>
      </w:r>
      <w:r w:rsidR="003161CD" w:rsidRPr="003826F8">
        <w:t xml:space="preserve"> as parcelas d</w:t>
      </w:r>
      <w:r w:rsidR="00053E85" w:rsidRPr="003826F8">
        <w:t>e</w:t>
      </w:r>
      <w:r w:rsidRPr="003826F8">
        <w:t xml:space="preserve"> principal.</w:t>
      </w:r>
    </w:p>
    <w:p w14:paraId="5EDBB6C2" w14:textId="77777777" w:rsidR="00A606DA" w:rsidRPr="003826F8" w:rsidRDefault="00A606DA" w:rsidP="00ED5BB6">
      <w:pPr>
        <w:pStyle w:val="BNDES"/>
        <w:keepNext/>
        <w:numPr>
          <w:ilvl w:val="1"/>
          <w:numId w:val="8"/>
        </w:numPr>
        <w:tabs>
          <w:tab w:val="clear" w:pos="1080"/>
          <w:tab w:val="num" w:pos="993"/>
        </w:tabs>
        <w:spacing w:before="120" w:after="120"/>
        <w:ind w:left="993" w:hanging="567"/>
        <w:rPr>
          <w:b/>
        </w:rPr>
      </w:pPr>
      <w:r w:rsidRPr="003826F8">
        <w:rPr>
          <w:b/>
        </w:rPr>
        <w:t>Nível de Participação:</w:t>
      </w:r>
    </w:p>
    <w:p w14:paraId="2DFF2704" w14:textId="518CC60A" w:rsidR="0013606C" w:rsidRPr="003826F8" w:rsidRDefault="0013606C" w:rsidP="00F83D4F">
      <w:pPr>
        <w:pStyle w:val="BNDES"/>
        <w:widowControl w:val="0"/>
        <w:spacing w:before="120" w:after="120"/>
        <w:ind w:left="992"/>
      </w:pPr>
      <w:r w:rsidRPr="003826F8">
        <w:t xml:space="preserve">Até </w:t>
      </w:r>
      <w:r w:rsidR="009C1D26" w:rsidRPr="003826F8">
        <w:t>100</w:t>
      </w:r>
      <w:r w:rsidRPr="003826F8">
        <w:t>% (</w:t>
      </w:r>
      <w:r w:rsidR="009C1D26" w:rsidRPr="003826F8">
        <w:t>cem</w:t>
      </w:r>
      <w:r w:rsidR="00FD1F81" w:rsidRPr="003826F8">
        <w:t xml:space="preserve"> </w:t>
      </w:r>
      <w:r w:rsidRPr="003826F8">
        <w:t xml:space="preserve">por cento) do valor dos </w:t>
      </w:r>
      <w:r w:rsidR="00947CD3" w:rsidRPr="003826F8">
        <w:t>itens financiáveis</w:t>
      </w:r>
      <w:r w:rsidR="00535348" w:rsidRPr="003826F8">
        <w:t>.</w:t>
      </w:r>
    </w:p>
    <w:p w14:paraId="30888591" w14:textId="77777777" w:rsidR="00691E90" w:rsidRPr="003826F8" w:rsidRDefault="00691E90" w:rsidP="00F83D4F">
      <w:pPr>
        <w:pStyle w:val="BNDES"/>
        <w:keepNext/>
        <w:numPr>
          <w:ilvl w:val="1"/>
          <w:numId w:val="8"/>
        </w:numPr>
        <w:tabs>
          <w:tab w:val="clear" w:pos="1080"/>
          <w:tab w:val="num" w:pos="993"/>
        </w:tabs>
        <w:spacing w:before="120" w:after="120"/>
        <w:ind w:left="992" w:hanging="567"/>
        <w:rPr>
          <w:b/>
        </w:rPr>
      </w:pPr>
      <w:r w:rsidRPr="003826F8">
        <w:rPr>
          <w:b/>
        </w:rPr>
        <w:t>Valor Máximo de Financiamento</w:t>
      </w:r>
      <w:r w:rsidR="004E77CB" w:rsidRPr="003826F8">
        <w:rPr>
          <w:b/>
        </w:rPr>
        <w:t>:</w:t>
      </w:r>
    </w:p>
    <w:p w14:paraId="0078DF9A" w14:textId="6167283D" w:rsidR="00540108" w:rsidRPr="003826F8" w:rsidRDefault="008122CE" w:rsidP="00F83D4F">
      <w:pPr>
        <w:pStyle w:val="BNDES"/>
        <w:spacing w:before="120" w:after="120"/>
        <w:ind w:left="992"/>
      </w:pPr>
      <w:r w:rsidRPr="003826F8">
        <w:rPr>
          <w:rFonts w:cs="Arial"/>
          <w:szCs w:val="24"/>
        </w:rPr>
        <w:t>R$ 10.000.000,00 (dez milhões de reais)</w:t>
      </w:r>
      <w:r w:rsidR="004D087C" w:rsidRPr="003826F8">
        <w:rPr>
          <w:rFonts w:cs="Arial"/>
          <w:szCs w:val="24"/>
        </w:rPr>
        <w:t xml:space="preserve"> por Cliente Final</w:t>
      </w:r>
      <w:r w:rsidRPr="003826F8">
        <w:rPr>
          <w:rFonts w:cs="Arial"/>
          <w:szCs w:val="24"/>
        </w:rPr>
        <w:t xml:space="preserve">, a cada período de 12 (doze) meses, considerada a data </w:t>
      </w:r>
      <w:r w:rsidR="00ED3175" w:rsidRPr="003826F8">
        <w:rPr>
          <w:rFonts w:cs="Arial"/>
          <w:szCs w:val="24"/>
        </w:rPr>
        <w:t>da homologação de cada operação</w:t>
      </w:r>
      <w:r w:rsidR="00691E90" w:rsidRPr="003826F8">
        <w:rPr>
          <w:rFonts w:cs="Arial"/>
          <w:szCs w:val="24"/>
        </w:rPr>
        <w:t>.</w:t>
      </w:r>
    </w:p>
    <w:p w14:paraId="3826B4D8" w14:textId="77777777" w:rsidR="00A606DA" w:rsidRPr="003826F8" w:rsidRDefault="00A606DA" w:rsidP="00ED5BB6">
      <w:pPr>
        <w:pStyle w:val="BNDES"/>
        <w:keepNext/>
        <w:numPr>
          <w:ilvl w:val="0"/>
          <w:numId w:val="8"/>
        </w:numPr>
        <w:tabs>
          <w:tab w:val="num" w:pos="142"/>
          <w:tab w:val="left" w:pos="426"/>
        </w:tabs>
        <w:spacing w:before="360" w:after="120"/>
        <w:ind w:left="426" w:hanging="426"/>
        <w:rPr>
          <w:b/>
        </w:rPr>
      </w:pPr>
      <w:r w:rsidRPr="003826F8">
        <w:rPr>
          <w:b/>
        </w:rPr>
        <w:lastRenderedPageBreak/>
        <w:t xml:space="preserve">GARANTIAS </w:t>
      </w:r>
    </w:p>
    <w:p w14:paraId="3FF48827" w14:textId="77777777" w:rsidR="00A94DEF" w:rsidRPr="003826F8" w:rsidRDefault="00A94DEF" w:rsidP="00F83D4F">
      <w:pPr>
        <w:pStyle w:val="BNDES"/>
        <w:numPr>
          <w:ilvl w:val="1"/>
          <w:numId w:val="8"/>
        </w:numPr>
        <w:tabs>
          <w:tab w:val="clear" w:pos="1080"/>
          <w:tab w:val="num" w:pos="993"/>
        </w:tabs>
        <w:spacing w:before="120" w:after="120"/>
        <w:ind w:left="992" w:hanging="567"/>
        <w:rPr>
          <w:rFonts w:cs="Arial"/>
          <w:szCs w:val="24"/>
        </w:rPr>
      </w:pPr>
      <w:r w:rsidRPr="003826F8">
        <w:rPr>
          <w:rFonts w:cs="Arial"/>
          <w:szCs w:val="24"/>
        </w:rPr>
        <w:t>A constituição de garantias ficará a critério da Instituição Financeira Credenciada, observadas as normas pertinentes do Banco Central do Brasil.</w:t>
      </w:r>
    </w:p>
    <w:p w14:paraId="231822A0" w14:textId="77777777" w:rsidR="00A94DEF" w:rsidRPr="003826F8" w:rsidRDefault="00A94DEF" w:rsidP="00F83D4F">
      <w:pPr>
        <w:pStyle w:val="BNDES"/>
        <w:numPr>
          <w:ilvl w:val="1"/>
          <w:numId w:val="8"/>
        </w:numPr>
        <w:tabs>
          <w:tab w:val="clear" w:pos="1080"/>
          <w:tab w:val="num" w:pos="993"/>
        </w:tabs>
        <w:spacing w:before="120" w:after="120"/>
        <w:ind w:left="992" w:hanging="567"/>
        <w:rPr>
          <w:rFonts w:cs="Arial"/>
          <w:szCs w:val="24"/>
        </w:rPr>
      </w:pPr>
      <w:r w:rsidRPr="003826F8">
        <w:rPr>
          <w:rFonts w:cs="Arial"/>
          <w:szCs w:val="24"/>
        </w:rPr>
        <w:t>Será admitida a outorga de garantia pelo Fundo Garantidor para Investimentos (FGI), observada a regulamentação específica desse Fundo.</w:t>
      </w:r>
    </w:p>
    <w:p w14:paraId="6FF52186" w14:textId="77777777" w:rsidR="00AF0499" w:rsidRPr="003826F8" w:rsidRDefault="00841106" w:rsidP="00ED5BB6">
      <w:pPr>
        <w:pStyle w:val="BNDES"/>
        <w:keepNext/>
        <w:numPr>
          <w:ilvl w:val="0"/>
          <w:numId w:val="8"/>
        </w:numPr>
        <w:tabs>
          <w:tab w:val="num" w:pos="142"/>
          <w:tab w:val="left" w:pos="426"/>
        </w:tabs>
        <w:spacing w:before="360" w:after="120"/>
        <w:ind w:left="426" w:hanging="426"/>
        <w:rPr>
          <w:b/>
        </w:rPr>
      </w:pPr>
      <w:r w:rsidRPr="003826F8">
        <w:rPr>
          <w:b/>
        </w:rPr>
        <w:t xml:space="preserve">SISTEMÁTICA OPERACIONAL </w:t>
      </w:r>
    </w:p>
    <w:p w14:paraId="2A1403DF" w14:textId="77777777" w:rsidR="00AD6CCF" w:rsidRPr="003826F8" w:rsidRDefault="00CA199D" w:rsidP="00F83D4F">
      <w:pPr>
        <w:pStyle w:val="BNDES"/>
        <w:tabs>
          <w:tab w:val="left" w:pos="426"/>
        </w:tabs>
        <w:spacing w:before="120" w:after="120"/>
        <w:ind w:left="426"/>
        <w:rPr>
          <w:rFonts w:cs="Arial"/>
        </w:rPr>
      </w:pPr>
      <w:r w:rsidRPr="003826F8">
        <w:rPr>
          <w:rFonts w:cs="Arial"/>
          <w:szCs w:val="24"/>
        </w:rPr>
        <w:t xml:space="preserve">As operações deverão ser </w:t>
      </w:r>
      <w:r w:rsidR="003B2437" w:rsidRPr="003826F8">
        <w:rPr>
          <w:rFonts w:cs="Arial"/>
          <w:szCs w:val="24"/>
        </w:rPr>
        <w:t>protocoladas</w:t>
      </w:r>
      <w:r w:rsidRPr="003826F8">
        <w:rPr>
          <w:rFonts w:cs="Arial"/>
          <w:szCs w:val="24"/>
        </w:rPr>
        <w:t xml:space="preserve"> por meio do Sistema BNDES Online, para homologação, previamente à sua contratação (Sistemática Operacional Convencional), observada</w:t>
      </w:r>
      <w:r w:rsidR="00A141AB" w:rsidRPr="003826F8">
        <w:rPr>
          <w:rFonts w:cs="Arial"/>
          <w:szCs w:val="24"/>
        </w:rPr>
        <w:t xml:space="preserve"> a Circular de</w:t>
      </w:r>
      <w:r w:rsidRPr="003826F8">
        <w:rPr>
          <w:rFonts w:cs="Arial"/>
          <w:szCs w:val="24"/>
        </w:rPr>
        <w:t xml:space="preserve"> </w:t>
      </w:r>
      <w:r w:rsidR="00A141AB" w:rsidRPr="003826F8">
        <w:rPr>
          <w:rFonts w:cs="Arial"/>
          <w:szCs w:val="24"/>
        </w:rPr>
        <w:t>Orientações Básicas e Procedimentos Operacionais aplicáveis aos Produtos e Programas que utilizam o Sistema BNDES Online</w:t>
      </w:r>
      <w:r w:rsidRPr="003826F8">
        <w:rPr>
          <w:rFonts w:cs="Arial"/>
          <w:szCs w:val="24"/>
        </w:rPr>
        <w:t>, a Circular que disciplina o Produto BNDES Finame e, ainda, o seguinte:</w:t>
      </w:r>
    </w:p>
    <w:p w14:paraId="5CE554F5" w14:textId="141872A6" w:rsidR="00CA199D" w:rsidRPr="003826F8" w:rsidRDefault="00CA199D" w:rsidP="00F83D4F">
      <w:pPr>
        <w:pStyle w:val="BNDES"/>
        <w:numPr>
          <w:ilvl w:val="1"/>
          <w:numId w:val="8"/>
        </w:numPr>
        <w:tabs>
          <w:tab w:val="clear" w:pos="1080"/>
          <w:tab w:val="num" w:pos="993"/>
        </w:tabs>
        <w:spacing w:before="120" w:after="120"/>
        <w:ind w:left="993" w:hanging="567"/>
      </w:pPr>
      <w:r w:rsidRPr="003826F8">
        <w:rPr>
          <w:rFonts w:cs="Arial"/>
          <w:szCs w:val="24"/>
        </w:rPr>
        <w:t>As liberações de crédito poderão ocorrer em uma ou mais parcelas.</w:t>
      </w:r>
    </w:p>
    <w:p w14:paraId="08F30F05" w14:textId="419EC23B" w:rsidR="005C5763" w:rsidRPr="003826F8" w:rsidRDefault="005C5763" w:rsidP="003826F8">
      <w:pPr>
        <w:pStyle w:val="BNDES"/>
        <w:numPr>
          <w:ilvl w:val="2"/>
          <w:numId w:val="8"/>
        </w:numPr>
        <w:tabs>
          <w:tab w:val="clear" w:pos="1440"/>
          <w:tab w:val="num" w:pos="1701"/>
        </w:tabs>
        <w:spacing w:before="120" w:after="120"/>
        <w:ind w:left="1701" w:hanging="708"/>
      </w:pPr>
      <w:r w:rsidRPr="003826F8">
        <w:rPr>
          <w:rFonts w:cs="Arial"/>
          <w:bCs/>
        </w:rPr>
        <w:t xml:space="preserve">Para </w:t>
      </w:r>
      <w:r w:rsidRPr="003826F8">
        <w:rPr>
          <w:rFonts w:cs="Arial"/>
          <w:szCs w:val="24"/>
        </w:rPr>
        <w:t>operações com Custo Financeiro TF</w:t>
      </w:r>
      <w:r w:rsidR="00506641" w:rsidRPr="003826F8">
        <w:rPr>
          <w:rFonts w:cs="Arial"/>
          <w:szCs w:val="24"/>
        </w:rPr>
        <w:t>B</w:t>
      </w:r>
      <w:r w:rsidRPr="003826F8">
        <w:rPr>
          <w:rFonts w:cs="Arial"/>
          <w:szCs w:val="24"/>
        </w:rPr>
        <w:t xml:space="preserve">TR, o prazo máximo para protocolo de todos os Pedidos de Liberação – PLs deve respeitar o previsto para a Faixa de Enquadramento utilizada, conforme disposto </w:t>
      </w:r>
      <w:r w:rsidR="00F9640C" w:rsidRPr="003826F8">
        <w:rPr>
          <w:rFonts w:cs="Arial"/>
          <w:szCs w:val="24"/>
        </w:rPr>
        <w:t>no item 6.</w:t>
      </w:r>
      <w:r w:rsidR="00B401A8">
        <w:rPr>
          <w:rFonts w:cs="Arial"/>
          <w:szCs w:val="24"/>
        </w:rPr>
        <w:t>4</w:t>
      </w:r>
      <w:r w:rsidRPr="003826F8">
        <w:rPr>
          <w:rFonts w:cs="Arial"/>
          <w:szCs w:val="24"/>
        </w:rPr>
        <w:t>.</w:t>
      </w:r>
    </w:p>
    <w:p w14:paraId="64F917C3" w14:textId="322D26B0" w:rsidR="00A94DEF" w:rsidRDefault="00A94DEF" w:rsidP="00F83D4F">
      <w:pPr>
        <w:pStyle w:val="BNDES"/>
        <w:numPr>
          <w:ilvl w:val="1"/>
          <w:numId w:val="8"/>
        </w:numPr>
        <w:tabs>
          <w:tab w:val="clear" w:pos="1080"/>
          <w:tab w:val="num" w:pos="993"/>
        </w:tabs>
        <w:spacing w:before="120" w:after="120"/>
        <w:ind w:left="993" w:hanging="567"/>
      </w:pPr>
      <w:r w:rsidRPr="003826F8">
        <w:t xml:space="preserve">Não é permitido o apoio a equipamentos importados com recursos do Programa BNDES </w:t>
      </w:r>
      <w:r w:rsidR="009825BD" w:rsidRPr="003826F8">
        <w:t xml:space="preserve">Finame </w:t>
      </w:r>
      <w:r w:rsidRPr="003826F8">
        <w:t>F</w:t>
      </w:r>
      <w:r w:rsidR="00FD1F81" w:rsidRPr="003826F8">
        <w:t>UST</w:t>
      </w:r>
      <w:r w:rsidRPr="003826F8">
        <w:t>.</w:t>
      </w:r>
    </w:p>
    <w:p w14:paraId="52224200" w14:textId="1FFB6E1B" w:rsidR="00B401A8" w:rsidRPr="003826F8" w:rsidRDefault="00B401A8" w:rsidP="00F83D4F">
      <w:pPr>
        <w:pStyle w:val="BNDES"/>
        <w:numPr>
          <w:ilvl w:val="1"/>
          <w:numId w:val="8"/>
        </w:numPr>
        <w:tabs>
          <w:tab w:val="clear" w:pos="1080"/>
          <w:tab w:val="num" w:pos="993"/>
        </w:tabs>
        <w:spacing w:before="120" w:after="120"/>
        <w:ind w:left="993" w:hanging="567"/>
      </w:pPr>
      <w:r w:rsidRPr="00925886">
        <w:t>É vedado o financiamento, neste Programa, de equipamentos por meio de eventos de produção</w:t>
      </w:r>
      <w:r>
        <w:t>.</w:t>
      </w:r>
    </w:p>
    <w:p w14:paraId="14BA2A1C" w14:textId="5EA768C7" w:rsidR="005C5763" w:rsidRPr="003826F8" w:rsidRDefault="005C5763" w:rsidP="00DA182E">
      <w:pPr>
        <w:pStyle w:val="BNDES"/>
        <w:numPr>
          <w:ilvl w:val="1"/>
          <w:numId w:val="8"/>
        </w:numPr>
        <w:tabs>
          <w:tab w:val="clear" w:pos="1080"/>
          <w:tab w:val="num" w:pos="993"/>
        </w:tabs>
        <w:spacing w:before="120" w:after="120"/>
        <w:ind w:left="993" w:hanging="567"/>
      </w:pPr>
      <w:r w:rsidRPr="003826F8">
        <w:rPr>
          <w:szCs w:val="24"/>
        </w:rPr>
        <w:t xml:space="preserve">Quando se tratar de operação de crédito que tenha como Custo Financeiro a </w:t>
      </w:r>
      <w:r w:rsidRPr="003826F8">
        <w:rPr>
          <w:rFonts w:cs="Arial"/>
          <w:szCs w:val="24"/>
        </w:rPr>
        <w:t>TF</w:t>
      </w:r>
      <w:r w:rsidR="00506641" w:rsidRPr="003826F8">
        <w:rPr>
          <w:rFonts w:cs="Arial"/>
          <w:szCs w:val="24"/>
        </w:rPr>
        <w:t>B</w:t>
      </w:r>
      <w:r w:rsidRPr="003826F8">
        <w:rPr>
          <w:rFonts w:cs="Arial"/>
          <w:szCs w:val="24"/>
        </w:rPr>
        <w:t>TR</w:t>
      </w:r>
      <w:r w:rsidRPr="003826F8">
        <w:rPr>
          <w:szCs w:val="24"/>
        </w:rPr>
        <w:t>, deverá ser observado o que se segue, além do disposto no item 6.1.1:</w:t>
      </w:r>
    </w:p>
    <w:p w14:paraId="607AC204" w14:textId="0BCCB0A4" w:rsidR="00E97613" w:rsidRPr="003826F8" w:rsidRDefault="009E6BB1">
      <w:pPr>
        <w:pStyle w:val="BNDES"/>
        <w:numPr>
          <w:ilvl w:val="2"/>
          <w:numId w:val="8"/>
        </w:numPr>
        <w:tabs>
          <w:tab w:val="clear" w:pos="1440"/>
          <w:tab w:val="num" w:pos="1701"/>
        </w:tabs>
        <w:spacing w:before="120" w:after="120"/>
        <w:ind w:left="1701" w:hanging="708"/>
      </w:pPr>
      <w:r>
        <w:t xml:space="preserve">O </w:t>
      </w:r>
      <w:r w:rsidR="00E97613" w:rsidRPr="003826F8">
        <w:t xml:space="preserve">BNDES divulgará na página eletrônica </w:t>
      </w:r>
      <w:r w:rsidR="00E97613" w:rsidRPr="003826F8">
        <w:rPr>
          <w:b/>
          <w:bCs/>
        </w:rPr>
        <w:t>https://bndes.gov.br/tf</w:t>
      </w:r>
      <w:r w:rsidR="00506641" w:rsidRPr="003826F8">
        <w:rPr>
          <w:b/>
          <w:bCs/>
        </w:rPr>
        <w:t>b</w:t>
      </w:r>
      <w:r w:rsidR="00E97613" w:rsidRPr="003826F8">
        <w:rPr>
          <w:b/>
          <w:bCs/>
        </w:rPr>
        <w:t>tr</w:t>
      </w:r>
      <w:r w:rsidR="00E97613" w:rsidRPr="003826F8">
        <w:t xml:space="preserve"> o valor da TF</w:t>
      </w:r>
      <w:r w:rsidR="00506641" w:rsidRPr="003826F8">
        <w:t>B</w:t>
      </w:r>
      <w:r w:rsidR="00E97613" w:rsidRPr="003826F8">
        <w:t xml:space="preserve">TR válido a ser adotado, o qual será diferenciado por faixas de enquadramento em razão do Prazo Total da operação e do Prazo Máximo indicado </w:t>
      </w:r>
      <w:r w:rsidR="00E97613" w:rsidRPr="00F3146E">
        <w:rPr>
          <w:strike/>
        </w:rPr>
        <w:t>pela Instituição Financeira Credenciada</w:t>
      </w:r>
      <w:r w:rsidR="00E97613" w:rsidRPr="003826F8">
        <w:t xml:space="preserve"> </w:t>
      </w:r>
      <w:r w:rsidR="00F3146E" w:rsidRPr="00F3146E">
        <w:t>pelo Agente Financeiro Credenciado</w:t>
      </w:r>
      <w:r w:rsidR="00F3146E" w:rsidRPr="00F3146E">
        <w:t xml:space="preserve"> </w:t>
      </w:r>
      <w:r w:rsidR="00E97613" w:rsidRPr="003826F8">
        <w:t>para protocolo do Pedido de Liberação – PL no BNDES, conforme quadro abaixo:</w:t>
      </w:r>
      <w:r w:rsidR="00F3146E">
        <w:t xml:space="preserve"> </w:t>
      </w:r>
      <w:r w:rsidR="00F3146E" w:rsidRPr="005164A3">
        <w:rPr>
          <w:rFonts w:cs="Arial"/>
          <w:b/>
          <w:i/>
          <w:color w:val="000099"/>
          <w:sz w:val="20"/>
        </w:rPr>
        <w:t>(</w:t>
      </w:r>
      <w:r w:rsidR="00F3146E" w:rsidRPr="009B761D">
        <w:rPr>
          <w:rFonts w:cs="Arial"/>
          <w:b/>
          <w:i/>
          <w:color w:val="000099"/>
          <w:sz w:val="20"/>
        </w:rPr>
        <w:t xml:space="preserve">Alterado pela Circular SUP/ADIG Nº </w:t>
      </w:r>
      <w:r w:rsidR="00F3146E">
        <w:rPr>
          <w:rFonts w:cs="Arial"/>
          <w:b/>
          <w:i/>
          <w:color w:val="000099"/>
          <w:sz w:val="20"/>
        </w:rPr>
        <w:t>10</w:t>
      </w:r>
      <w:r w:rsidR="00F3146E" w:rsidRPr="009B761D">
        <w:rPr>
          <w:rFonts w:cs="Arial"/>
          <w:b/>
          <w:i/>
          <w:color w:val="000099"/>
          <w:sz w:val="20"/>
        </w:rPr>
        <w:t>/202</w:t>
      </w:r>
      <w:r w:rsidR="00F3146E">
        <w:rPr>
          <w:rFonts w:cs="Arial"/>
          <w:b/>
          <w:i/>
          <w:color w:val="000099"/>
          <w:sz w:val="20"/>
        </w:rPr>
        <w:t>5</w:t>
      </w:r>
      <w:r w:rsidR="00F3146E" w:rsidRPr="009B761D">
        <w:rPr>
          <w:rFonts w:cs="Arial"/>
          <w:b/>
          <w:i/>
          <w:color w:val="000099"/>
          <w:sz w:val="20"/>
        </w:rPr>
        <w:t xml:space="preserve">-BNDES, de </w:t>
      </w:r>
      <w:r w:rsidR="00F3146E">
        <w:rPr>
          <w:rFonts w:cs="Arial"/>
          <w:b/>
          <w:i/>
          <w:color w:val="000099"/>
          <w:sz w:val="20"/>
        </w:rPr>
        <w:t>13</w:t>
      </w:r>
      <w:r w:rsidR="00F3146E" w:rsidRPr="009B761D">
        <w:rPr>
          <w:rFonts w:cs="Arial"/>
          <w:b/>
          <w:i/>
          <w:color w:val="000099"/>
          <w:sz w:val="20"/>
        </w:rPr>
        <w:t>.</w:t>
      </w:r>
      <w:r w:rsidR="00F3146E">
        <w:rPr>
          <w:rFonts w:cs="Arial"/>
          <w:b/>
          <w:i/>
          <w:color w:val="000099"/>
          <w:sz w:val="20"/>
        </w:rPr>
        <w:t>02</w:t>
      </w:r>
      <w:r w:rsidR="00F3146E" w:rsidRPr="009B761D">
        <w:rPr>
          <w:rFonts w:cs="Arial"/>
          <w:b/>
          <w:i/>
          <w:color w:val="000099"/>
          <w:sz w:val="20"/>
        </w:rPr>
        <w:t>.202</w:t>
      </w:r>
      <w:r w:rsidR="00F3146E">
        <w:rPr>
          <w:rFonts w:cs="Arial"/>
          <w:b/>
          <w:i/>
          <w:color w:val="000099"/>
          <w:sz w:val="20"/>
        </w:rPr>
        <w:t>5)</w:t>
      </w:r>
    </w:p>
    <w:tbl>
      <w:tblPr>
        <w:tblW w:w="6731" w:type="dxa"/>
        <w:tblInd w:w="1771" w:type="dxa"/>
        <w:tblBorders>
          <w:top w:val="single" w:sz="4" w:space="0" w:color="auto"/>
          <w:left w:val="single" w:sz="4" w:space="0" w:color="auto"/>
          <w:bottom w:val="single" w:sz="8" w:space="0" w:color="auto"/>
          <w:right w:val="single" w:sz="4" w:space="0" w:color="auto"/>
          <w:insideH w:val="single" w:sz="4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559"/>
        <w:gridCol w:w="3329"/>
      </w:tblGrid>
      <w:tr w:rsidR="00F9640C" w:rsidRPr="003826F8" w14:paraId="056CBDF9" w14:textId="77777777" w:rsidTr="003826F8">
        <w:trPr>
          <w:trHeight w:val="780"/>
        </w:trPr>
        <w:tc>
          <w:tcPr>
            <w:tcW w:w="1843" w:type="dxa"/>
            <w:shd w:val="clear" w:color="auto" w:fill="D9D9D9"/>
            <w:vAlign w:val="center"/>
            <w:hideMark/>
          </w:tcPr>
          <w:p w14:paraId="096ECEE9" w14:textId="116A1644" w:rsidR="00F9640C" w:rsidRPr="003826F8" w:rsidRDefault="00F9640C" w:rsidP="00F3146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826F8">
              <w:rPr>
                <w:rFonts w:ascii="Arial" w:hAnsi="Arial" w:cs="Arial"/>
                <w:b/>
                <w:bCs/>
                <w:sz w:val="20"/>
              </w:rPr>
              <w:lastRenderedPageBreak/>
              <w:t>Faixa de Enquadramento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7B048786" w14:textId="77777777" w:rsidR="00F9640C" w:rsidRPr="003826F8" w:rsidRDefault="00F9640C" w:rsidP="00F3146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826F8">
              <w:rPr>
                <w:rFonts w:ascii="Arial" w:hAnsi="Arial" w:cs="Arial"/>
                <w:b/>
                <w:bCs/>
                <w:sz w:val="20"/>
              </w:rPr>
              <w:t>Prazo Total de Financiamento</w:t>
            </w:r>
          </w:p>
        </w:tc>
        <w:tc>
          <w:tcPr>
            <w:tcW w:w="3329" w:type="dxa"/>
            <w:shd w:val="clear" w:color="auto" w:fill="D9D9D9"/>
            <w:vAlign w:val="center"/>
          </w:tcPr>
          <w:p w14:paraId="77D0196F" w14:textId="77777777" w:rsidR="00F9640C" w:rsidRPr="003826F8" w:rsidRDefault="00F9640C" w:rsidP="00F3146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826F8">
              <w:rPr>
                <w:rFonts w:ascii="Arial" w:hAnsi="Arial" w:cs="Arial"/>
                <w:b/>
                <w:bCs/>
                <w:sz w:val="20"/>
              </w:rPr>
              <w:t>Prazo máximo para protocolo dos PLs, inclusive eventuais reapresentações</w:t>
            </w:r>
            <w:r w:rsidRPr="003826F8">
              <w:rPr>
                <w:rFonts w:ascii="Arial" w:hAnsi="Arial" w:cs="Arial"/>
                <w:b/>
                <w:bCs/>
                <w:sz w:val="20"/>
                <w:vertAlign w:val="superscript"/>
              </w:rPr>
              <w:t>(1)</w:t>
            </w:r>
          </w:p>
        </w:tc>
      </w:tr>
      <w:tr w:rsidR="00506641" w:rsidRPr="003826F8" w14:paraId="65A21EEC" w14:textId="77777777" w:rsidTr="00473962">
        <w:trPr>
          <w:trHeight w:val="510"/>
        </w:trPr>
        <w:tc>
          <w:tcPr>
            <w:tcW w:w="1843" w:type="dxa"/>
            <w:shd w:val="clear" w:color="auto" w:fill="auto"/>
            <w:vAlign w:val="center"/>
          </w:tcPr>
          <w:p w14:paraId="37C0BCAB" w14:textId="45335EA0" w:rsidR="00506641" w:rsidRPr="003826F8" w:rsidRDefault="00506641" w:rsidP="00F3146E">
            <w:pPr>
              <w:keepNext/>
              <w:keepLine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26F8">
              <w:rPr>
                <w:rFonts w:ascii="Arial" w:hAnsi="Arial" w:cs="Arial"/>
                <w:sz w:val="22"/>
                <w:szCs w:val="22"/>
              </w:rPr>
              <w:t>TFBTR60.</w:t>
            </w:r>
            <w:r w:rsidR="00DD1CC9">
              <w:rPr>
                <w:rFonts w:ascii="Arial" w:hAnsi="Arial" w:cs="Arial"/>
                <w:sz w:val="22"/>
                <w:szCs w:val="22"/>
              </w:rPr>
              <w:t>9</w:t>
            </w:r>
            <w:r w:rsidRPr="003826F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12C356" w14:textId="20BA49DE" w:rsidR="00506641" w:rsidRPr="003826F8" w:rsidRDefault="00506641" w:rsidP="00F3146E">
            <w:pPr>
              <w:keepNext/>
              <w:keepLine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26F8">
              <w:rPr>
                <w:rFonts w:ascii="Arial" w:hAnsi="Arial" w:cs="Arial"/>
                <w:sz w:val="22"/>
                <w:szCs w:val="22"/>
              </w:rPr>
              <w:t>Até 60 meses</w:t>
            </w:r>
          </w:p>
        </w:tc>
        <w:tc>
          <w:tcPr>
            <w:tcW w:w="3329" w:type="dxa"/>
            <w:vMerge w:val="restart"/>
            <w:shd w:val="clear" w:color="auto" w:fill="auto"/>
            <w:vAlign w:val="center"/>
          </w:tcPr>
          <w:p w14:paraId="02DCA492" w14:textId="5EC2050D" w:rsidR="00506641" w:rsidRPr="003826F8" w:rsidRDefault="00506641" w:rsidP="00F3146E">
            <w:pPr>
              <w:keepNext/>
              <w:keepLine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26F8">
              <w:rPr>
                <w:rFonts w:ascii="Arial" w:hAnsi="Arial" w:cs="Arial"/>
                <w:sz w:val="22"/>
                <w:szCs w:val="22"/>
              </w:rPr>
              <w:t xml:space="preserve">Até </w:t>
            </w:r>
            <w:r w:rsidR="00DD1CC9">
              <w:rPr>
                <w:rFonts w:ascii="Arial" w:hAnsi="Arial" w:cs="Arial"/>
                <w:sz w:val="22"/>
                <w:szCs w:val="22"/>
              </w:rPr>
              <w:t>9</w:t>
            </w:r>
            <w:r w:rsidRPr="003826F8">
              <w:rPr>
                <w:rFonts w:ascii="Arial" w:hAnsi="Arial" w:cs="Arial"/>
                <w:sz w:val="22"/>
                <w:szCs w:val="22"/>
              </w:rPr>
              <w:t>0 dias, ou dia útil anterior</w:t>
            </w:r>
          </w:p>
        </w:tc>
      </w:tr>
      <w:tr w:rsidR="00506641" w:rsidRPr="003826F8" w14:paraId="7889CBAA" w14:textId="77777777" w:rsidTr="00473962">
        <w:trPr>
          <w:trHeight w:val="510"/>
        </w:trPr>
        <w:tc>
          <w:tcPr>
            <w:tcW w:w="1843" w:type="dxa"/>
            <w:shd w:val="clear" w:color="auto" w:fill="auto"/>
            <w:vAlign w:val="center"/>
          </w:tcPr>
          <w:p w14:paraId="1789322F" w14:textId="04AB62A1" w:rsidR="00506641" w:rsidRPr="003826F8" w:rsidRDefault="00506641" w:rsidP="00F3146E">
            <w:pPr>
              <w:keepNext/>
              <w:keepLine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26F8">
              <w:rPr>
                <w:rFonts w:ascii="Arial" w:hAnsi="Arial" w:cs="Arial"/>
                <w:sz w:val="22"/>
                <w:szCs w:val="22"/>
              </w:rPr>
              <w:t>TFBTR120.</w:t>
            </w:r>
            <w:r w:rsidR="00DD1CC9">
              <w:rPr>
                <w:rFonts w:ascii="Arial" w:hAnsi="Arial" w:cs="Arial"/>
                <w:sz w:val="22"/>
                <w:szCs w:val="22"/>
              </w:rPr>
              <w:t>9</w:t>
            </w:r>
            <w:r w:rsidRPr="003826F8">
              <w:rPr>
                <w:rFonts w:ascii="Arial" w:hAnsi="Arial" w:cs="Arial"/>
                <w:sz w:val="22"/>
                <w:szCs w:val="22"/>
              </w:rPr>
              <w:t xml:space="preserve">0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56F584" w14:textId="1622BFAD" w:rsidR="00506641" w:rsidRPr="003826F8" w:rsidRDefault="00506641" w:rsidP="00F3146E">
            <w:pPr>
              <w:keepNext/>
              <w:keepLine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26F8">
              <w:rPr>
                <w:rFonts w:ascii="Arial" w:hAnsi="Arial" w:cs="Arial"/>
                <w:sz w:val="22"/>
                <w:szCs w:val="22"/>
              </w:rPr>
              <w:t>De 61 até 120 meses</w:t>
            </w:r>
          </w:p>
        </w:tc>
        <w:tc>
          <w:tcPr>
            <w:tcW w:w="3329" w:type="dxa"/>
            <w:vMerge/>
            <w:shd w:val="clear" w:color="auto" w:fill="auto"/>
            <w:vAlign w:val="center"/>
          </w:tcPr>
          <w:p w14:paraId="74158485" w14:textId="0277648C" w:rsidR="00506641" w:rsidRPr="003826F8" w:rsidRDefault="00506641" w:rsidP="00F3146E">
            <w:pPr>
              <w:keepNext/>
              <w:keepLine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146E" w:rsidRPr="003826F8" w14:paraId="4F46EA34" w14:textId="77777777" w:rsidTr="00473962">
        <w:trPr>
          <w:trHeight w:val="510"/>
        </w:trPr>
        <w:tc>
          <w:tcPr>
            <w:tcW w:w="1843" w:type="dxa"/>
            <w:shd w:val="clear" w:color="auto" w:fill="auto"/>
            <w:vAlign w:val="center"/>
          </w:tcPr>
          <w:p w14:paraId="07932F1C" w14:textId="4FC4E9AC" w:rsidR="00F3146E" w:rsidRPr="003826F8" w:rsidRDefault="00F3146E" w:rsidP="00F3146E">
            <w:pPr>
              <w:keepNext/>
              <w:keepLines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TFBTR60.180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82EA43" w14:textId="5045513C" w:rsidR="00F3146E" w:rsidRPr="003826F8" w:rsidRDefault="00F3146E" w:rsidP="00F3146E">
            <w:pPr>
              <w:keepNext/>
              <w:keepLine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26F8">
              <w:rPr>
                <w:rFonts w:ascii="Arial" w:hAnsi="Arial" w:cs="Arial"/>
                <w:sz w:val="22"/>
                <w:szCs w:val="22"/>
              </w:rPr>
              <w:t>Até 60 meses</w:t>
            </w:r>
          </w:p>
        </w:tc>
        <w:tc>
          <w:tcPr>
            <w:tcW w:w="3329" w:type="dxa"/>
            <w:vMerge w:val="restart"/>
            <w:shd w:val="clear" w:color="auto" w:fill="auto"/>
            <w:vAlign w:val="center"/>
          </w:tcPr>
          <w:p w14:paraId="1D61E2CF" w14:textId="3A6F75CB" w:rsidR="00F3146E" w:rsidRPr="003826F8" w:rsidRDefault="00F3146E" w:rsidP="00F3146E">
            <w:pPr>
              <w:keepNext/>
              <w:keepLine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26F8">
              <w:rPr>
                <w:rFonts w:ascii="Arial" w:hAnsi="Arial" w:cs="Arial"/>
                <w:sz w:val="22"/>
                <w:szCs w:val="22"/>
              </w:rPr>
              <w:t xml:space="preserve">Até </w:t>
            </w:r>
            <w:r>
              <w:rPr>
                <w:rFonts w:ascii="Arial" w:hAnsi="Arial" w:cs="Arial"/>
                <w:sz w:val="22"/>
                <w:szCs w:val="22"/>
              </w:rPr>
              <w:t>18</w:t>
            </w:r>
            <w:r w:rsidRPr="003826F8">
              <w:rPr>
                <w:rFonts w:ascii="Arial" w:hAnsi="Arial" w:cs="Arial"/>
                <w:sz w:val="22"/>
                <w:szCs w:val="22"/>
              </w:rPr>
              <w:t>0 dias, ou dia útil anterior</w:t>
            </w:r>
          </w:p>
        </w:tc>
      </w:tr>
      <w:tr w:rsidR="00F3146E" w:rsidRPr="003826F8" w14:paraId="591DC9D2" w14:textId="77777777" w:rsidTr="00473962">
        <w:trPr>
          <w:trHeight w:val="510"/>
        </w:trPr>
        <w:tc>
          <w:tcPr>
            <w:tcW w:w="1843" w:type="dxa"/>
            <w:shd w:val="clear" w:color="auto" w:fill="auto"/>
            <w:vAlign w:val="center"/>
          </w:tcPr>
          <w:p w14:paraId="5D54F2AC" w14:textId="0E4A5E44" w:rsidR="00F3146E" w:rsidRPr="003826F8" w:rsidRDefault="00F3146E" w:rsidP="00F3146E">
            <w:pPr>
              <w:keepNext/>
              <w:keepLines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TFBTR120.180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EE85AE" w14:textId="560F06A8" w:rsidR="00F3146E" w:rsidRPr="003826F8" w:rsidRDefault="00F3146E" w:rsidP="00F3146E">
            <w:pPr>
              <w:keepNext/>
              <w:keepLine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26F8">
              <w:rPr>
                <w:rFonts w:ascii="Arial" w:hAnsi="Arial" w:cs="Arial"/>
                <w:sz w:val="22"/>
                <w:szCs w:val="22"/>
              </w:rPr>
              <w:t>De 61 até 120 meses</w:t>
            </w:r>
          </w:p>
        </w:tc>
        <w:tc>
          <w:tcPr>
            <w:tcW w:w="3329" w:type="dxa"/>
            <w:vMerge/>
            <w:shd w:val="clear" w:color="auto" w:fill="auto"/>
            <w:vAlign w:val="center"/>
          </w:tcPr>
          <w:p w14:paraId="3F8B2BD8" w14:textId="77777777" w:rsidR="00F3146E" w:rsidRPr="003826F8" w:rsidRDefault="00F3146E" w:rsidP="00F3146E">
            <w:pPr>
              <w:keepNext/>
              <w:keepLine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AB08D45" w14:textId="52285035" w:rsidR="00F3146E" w:rsidRDefault="00F3146E" w:rsidP="00F3146E">
      <w:pPr>
        <w:pStyle w:val="BNDES"/>
        <w:keepNext/>
        <w:keepLines/>
        <w:tabs>
          <w:tab w:val="left" w:pos="2127"/>
        </w:tabs>
        <w:spacing w:before="120" w:after="120"/>
        <w:ind w:left="2977" w:right="1274" w:hanging="1134"/>
        <w:rPr>
          <w:rFonts w:cs="Arial"/>
          <w:sz w:val="20"/>
        </w:rPr>
      </w:pPr>
      <w:r w:rsidRPr="005164A3">
        <w:rPr>
          <w:rFonts w:cs="Arial"/>
          <w:b/>
          <w:i/>
          <w:color w:val="000099"/>
          <w:sz w:val="20"/>
        </w:rPr>
        <w:t>(</w:t>
      </w:r>
      <w:r w:rsidRPr="009B761D">
        <w:rPr>
          <w:rFonts w:cs="Arial"/>
          <w:b/>
          <w:i/>
          <w:color w:val="000099"/>
          <w:sz w:val="20"/>
        </w:rPr>
        <w:t xml:space="preserve">Alterado pela Circular SUP/ADIG Nº </w:t>
      </w:r>
      <w:r>
        <w:rPr>
          <w:rFonts w:cs="Arial"/>
          <w:b/>
          <w:i/>
          <w:color w:val="000099"/>
          <w:sz w:val="20"/>
        </w:rPr>
        <w:t>10</w:t>
      </w:r>
      <w:r w:rsidRPr="009B761D">
        <w:rPr>
          <w:rFonts w:cs="Arial"/>
          <w:b/>
          <w:i/>
          <w:color w:val="000099"/>
          <w:sz w:val="20"/>
        </w:rPr>
        <w:t>/202</w:t>
      </w:r>
      <w:r>
        <w:rPr>
          <w:rFonts w:cs="Arial"/>
          <w:b/>
          <w:i/>
          <w:color w:val="000099"/>
          <w:sz w:val="20"/>
        </w:rPr>
        <w:t>5</w:t>
      </w:r>
      <w:r w:rsidRPr="009B761D">
        <w:rPr>
          <w:rFonts w:cs="Arial"/>
          <w:b/>
          <w:i/>
          <w:color w:val="000099"/>
          <w:sz w:val="20"/>
        </w:rPr>
        <w:t xml:space="preserve">-BNDES, de </w:t>
      </w:r>
      <w:r>
        <w:rPr>
          <w:rFonts w:cs="Arial"/>
          <w:b/>
          <w:i/>
          <w:color w:val="000099"/>
          <w:sz w:val="20"/>
        </w:rPr>
        <w:t>13</w:t>
      </w:r>
      <w:r w:rsidRPr="009B761D">
        <w:rPr>
          <w:rFonts w:cs="Arial"/>
          <w:b/>
          <w:i/>
          <w:color w:val="000099"/>
          <w:sz w:val="20"/>
        </w:rPr>
        <w:t>.</w:t>
      </w:r>
      <w:r>
        <w:rPr>
          <w:rFonts w:cs="Arial"/>
          <w:b/>
          <w:i/>
          <w:color w:val="000099"/>
          <w:sz w:val="20"/>
        </w:rPr>
        <w:t>02</w:t>
      </w:r>
      <w:r w:rsidRPr="009B761D">
        <w:rPr>
          <w:rFonts w:cs="Arial"/>
          <w:b/>
          <w:i/>
          <w:color w:val="000099"/>
          <w:sz w:val="20"/>
        </w:rPr>
        <w:t>.202</w:t>
      </w:r>
      <w:r>
        <w:rPr>
          <w:rFonts w:cs="Arial"/>
          <w:b/>
          <w:i/>
          <w:color w:val="000099"/>
          <w:sz w:val="20"/>
        </w:rPr>
        <w:t>5)</w:t>
      </w:r>
    </w:p>
    <w:p w14:paraId="2180E454" w14:textId="304E5306" w:rsidR="00F9640C" w:rsidRPr="003826F8" w:rsidRDefault="00F9640C" w:rsidP="00F3146E">
      <w:pPr>
        <w:pStyle w:val="BNDES"/>
        <w:keepNext/>
        <w:keepLines/>
        <w:numPr>
          <w:ilvl w:val="0"/>
          <w:numId w:val="35"/>
        </w:numPr>
        <w:tabs>
          <w:tab w:val="left" w:pos="2127"/>
        </w:tabs>
        <w:spacing w:before="120" w:after="120"/>
        <w:ind w:left="2127" w:right="1274" w:hanging="426"/>
        <w:rPr>
          <w:rFonts w:cs="Arial"/>
          <w:sz w:val="20"/>
        </w:rPr>
      </w:pPr>
      <w:r w:rsidRPr="003826F8">
        <w:rPr>
          <w:rFonts w:cs="Arial"/>
          <w:sz w:val="20"/>
        </w:rPr>
        <w:t>Contados em dias corridos a partir da data da fixação da TF</w:t>
      </w:r>
      <w:r w:rsidR="00506641" w:rsidRPr="003826F8">
        <w:rPr>
          <w:rFonts w:cs="Arial"/>
          <w:sz w:val="20"/>
        </w:rPr>
        <w:t>B</w:t>
      </w:r>
      <w:r w:rsidR="00C52F99" w:rsidRPr="003826F8">
        <w:rPr>
          <w:rFonts w:cs="Arial"/>
          <w:sz w:val="20"/>
        </w:rPr>
        <w:t>TR</w:t>
      </w:r>
      <w:r w:rsidRPr="003826F8">
        <w:rPr>
          <w:rFonts w:cs="Arial"/>
          <w:sz w:val="20"/>
        </w:rPr>
        <w:t>. Os prazos deverão ser cumpridos, sob pena de cancelamento da operação.</w:t>
      </w:r>
    </w:p>
    <w:p w14:paraId="24403CF6" w14:textId="398A9EFD" w:rsidR="00F9640C" w:rsidRPr="003826F8" w:rsidRDefault="00F9640C">
      <w:pPr>
        <w:pStyle w:val="BNDES"/>
        <w:numPr>
          <w:ilvl w:val="2"/>
          <w:numId w:val="8"/>
        </w:numPr>
        <w:tabs>
          <w:tab w:val="clear" w:pos="1440"/>
          <w:tab w:val="num" w:pos="1701"/>
        </w:tabs>
        <w:spacing w:before="120" w:after="120"/>
        <w:ind w:left="1701" w:hanging="708"/>
      </w:pPr>
      <w:r w:rsidRPr="003826F8">
        <w:rPr>
          <w:rFonts w:cs="Arial"/>
          <w:szCs w:val="24"/>
        </w:rPr>
        <w:t>A Instituição Financeira Credenciada poderá utilizar na operação de crédito a TF</w:t>
      </w:r>
      <w:r w:rsidR="00506641" w:rsidRPr="003826F8">
        <w:rPr>
          <w:rFonts w:cs="Arial"/>
          <w:szCs w:val="24"/>
        </w:rPr>
        <w:t>B</w:t>
      </w:r>
      <w:r w:rsidRPr="003826F8">
        <w:rPr>
          <w:rFonts w:cs="Arial"/>
          <w:szCs w:val="24"/>
        </w:rPr>
        <w:t>TR válida (i) na data de protocolo da operação junto ao Sistema BNDES ou (ii) na data da contratação da operação de crédito com o Cliente</w:t>
      </w:r>
      <w:r w:rsidR="009E6BB1">
        <w:rPr>
          <w:rFonts w:cs="Arial"/>
          <w:szCs w:val="24"/>
        </w:rPr>
        <w:t xml:space="preserve"> Final</w:t>
      </w:r>
      <w:r w:rsidRPr="003826F8">
        <w:rPr>
          <w:rFonts w:cs="Arial"/>
          <w:szCs w:val="24"/>
        </w:rPr>
        <w:t xml:space="preserve">, devendo indicar </w:t>
      </w:r>
      <w:r w:rsidR="009E6BB1">
        <w:rPr>
          <w:rFonts w:cs="Arial"/>
          <w:szCs w:val="24"/>
        </w:rPr>
        <w:t>a</w:t>
      </w:r>
      <w:r w:rsidR="009E6BB1" w:rsidRPr="003826F8">
        <w:rPr>
          <w:rFonts w:cs="Arial"/>
          <w:szCs w:val="24"/>
        </w:rPr>
        <w:t xml:space="preserve"> </w:t>
      </w:r>
      <w:r w:rsidRPr="003826F8">
        <w:rPr>
          <w:rFonts w:cs="Arial"/>
          <w:szCs w:val="24"/>
        </w:rPr>
        <w:t>opção quando do protocolo da operação junto ao Sistema BNDES.</w:t>
      </w:r>
    </w:p>
    <w:p w14:paraId="7362EC04" w14:textId="29BB387B" w:rsidR="005C5763" w:rsidRPr="003826F8" w:rsidRDefault="00F9640C">
      <w:pPr>
        <w:pStyle w:val="BNDES"/>
        <w:numPr>
          <w:ilvl w:val="2"/>
          <w:numId w:val="8"/>
        </w:numPr>
        <w:tabs>
          <w:tab w:val="clear" w:pos="1440"/>
          <w:tab w:val="num" w:pos="1701"/>
        </w:tabs>
        <w:spacing w:before="120" w:after="120"/>
        <w:ind w:left="1701" w:hanging="708"/>
      </w:pPr>
      <w:r w:rsidRPr="003826F8">
        <w:rPr>
          <w:rFonts w:cs="Arial"/>
          <w:szCs w:val="24"/>
        </w:rPr>
        <w:t>Caso tenha optado pela TF</w:t>
      </w:r>
      <w:r w:rsidR="00506641" w:rsidRPr="003826F8">
        <w:rPr>
          <w:rFonts w:cs="Arial"/>
          <w:szCs w:val="24"/>
        </w:rPr>
        <w:t>B</w:t>
      </w:r>
      <w:r w:rsidRPr="003826F8">
        <w:rPr>
          <w:rFonts w:cs="Arial"/>
          <w:szCs w:val="24"/>
        </w:rPr>
        <w:t>TR válida na data de protocolo da operação junto ao Sistema BNDES, a faixa de enquadramento não poderá ser alterada. Caso tenha optado pela fixação da TF</w:t>
      </w:r>
      <w:r w:rsidR="00506641" w:rsidRPr="003826F8">
        <w:rPr>
          <w:rFonts w:cs="Arial"/>
          <w:szCs w:val="24"/>
        </w:rPr>
        <w:t>B</w:t>
      </w:r>
      <w:r w:rsidRPr="003826F8">
        <w:rPr>
          <w:rFonts w:cs="Arial"/>
          <w:szCs w:val="24"/>
        </w:rPr>
        <w:t>TR válida na data da contratação com o Cliente Final, será possível alterar a faixa de enquadramento quando da transmissão das informações do contrato ao Sistema BNDES.</w:t>
      </w:r>
    </w:p>
    <w:p w14:paraId="4FAB8B9C" w14:textId="77777777" w:rsidR="00F9640C" w:rsidRPr="003826F8" w:rsidRDefault="00F9640C" w:rsidP="003826F8">
      <w:pPr>
        <w:pStyle w:val="BNDES"/>
        <w:numPr>
          <w:ilvl w:val="2"/>
          <w:numId w:val="8"/>
        </w:numPr>
        <w:tabs>
          <w:tab w:val="clear" w:pos="1440"/>
          <w:tab w:val="num" w:pos="1701"/>
        </w:tabs>
        <w:spacing w:before="120" w:after="120"/>
        <w:ind w:left="1701" w:hanging="708"/>
        <w:rPr>
          <w:rFonts w:cs="Arial"/>
          <w:szCs w:val="24"/>
        </w:rPr>
      </w:pPr>
      <w:r w:rsidRPr="003826F8">
        <w:rPr>
          <w:rFonts w:cs="Arial"/>
          <w:szCs w:val="24"/>
        </w:rPr>
        <w:t>Sistemática de Cálculo: os juros devidos pelo Cliente Final deverão ser calculados e exigidos segundo a seguinte fórmula:</w:t>
      </w:r>
    </w:p>
    <w:p w14:paraId="0317CA43" w14:textId="51744834" w:rsidR="00F9640C" w:rsidRPr="003826F8" w:rsidRDefault="00F9640C" w:rsidP="003826F8">
      <w:pPr>
        <w:spacing w:before="120" w:after="120"/>
        <w:ind w:left="1701"/>
        <w:jc w:val="both"/>
        <w:rPr>
          <w:rFonts w:ascii="Arial" w:hAnsi="Arial" w:cs="Arial"/>
        </w:rPr>
      </w:pPr>
      <w:r w:rsidRPr="003826F8">
        <w:rPr>
          <w:rFonts w:ascii="Arial" w:hAnsi="Arial" w:cs="Arial"/>
        </w:rPr>
        <w:t>J</w:t>
      </w:r>
      <w:r w:rsidRPr="003826F8">
        <w:rPr>
          <w:rFonts w:ascii="Arial" w:hAnsi="Arial" w:cs="Arial"/>
          <w:vertAlign w:val="subscript"/>
        </w:rPr>
        <w:t>n </w:t>
      </w:r>
      <w:r w:rsidRPr="003826F8">
        <w:rPr>
          <w:rFonts w:ascii="Arial" w:hAnsi="Arial" w:cs="Arial"/>
        </w:rPr>
        <w:t>= SD</w:t>
      </w:r>
      <w:r w:rsidRPr="003826F8">
        <w:rPr>
          <w:rFonts w:ascii="Arial" w:hAnsi="Arial" w:cs="Arial"/>
          <w:vertAlign w:val="subscript"/>
        </w:rPr>
        <w:t>n-1</w:t>
      </w:r>
      <w:r w:rsidRPr="003826F8">
        <w:rPr>
          <w:rFonts w:ascii="Arial" w:hAnsi="Arial" w:cs="Arial"/>
        </w:rPr>
        <w:t xml:space="preserve"> • </w:t>
      </w:r>
      <m:oMath>
        <m:d>
          <m:dPr>
            <m:begChr m:val="{"/>
            <m:endChr m:val="}"/>
            <m:ctrlPr>
              <w:rPr>
                <w:rFonts w:ascii="Cambria Math" w:hAnsi="Cambria Math" w:cs="Arial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 w:cs="Arial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Arial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1+Taxa de Juros</m:t>
                    </m:r>
                  </m:e>
                </m:d>
              </m:e>
              <m:sup>
                <m:f>
                  <m:fPr>
                    <m:ctrlPr>
                      <w:rPr>
                        <w:rFonts w:ascii="Cambria Math" w:hAnsi="Cambria Math" w:cs="Arial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N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y</m:t>
                    </m:r>
                  </m:den>
                </m:f>
              </m:sup>
            </m:sSup>
            <m:r>
              <m:rPr>
                <m:sty m:val="p"/>
              </m:rPr>
              <w:rPr>
                <w:rFonts w:ascii="Cambria Math" w:hAnsi="Cambria Math" w:cs="Arial"/>
              </w:rPr>
              <m:t>-1</m:t>
            </m:r>
          </m:e>
        </m:d>
      </m:oMath>
    </w:p>
    <w:p w14:paraId="42B71B65" w14:textId="77777777" w:rsidR="00F9640C" w:rsidRPr="003826F8" w:rsidRDefault="00F9640C" w:rsidP="003826F8">
      <w:pPr>
        <w:spacing w:after="120"/>
        <w:ind w:left="1701"/>
        <w:jc w:val="both"/>
        <w:rPr>
          <w:rFonts w:ascii="Arial" w:hAnsi="Arial" w:cs="Arial"/>
          <w:b/>
        </w:rPr>
      </w:pPr>
      <w:r w:rsidRPr="003826F8">
        <w:rPr>
          <w:rFonts w:ascii="Arial" w:hAnsi="Arial" w:cs="Arial"/>
          <w:b/>
        </w:rPr>
        <w:t>onde:</w:t>
      </w:r>
    </w:p>
    <w:p w14:paraId="05A2CE3C" w14:textId="1A8C0533" w:rsidR="00F9640C" w:rsidRPr="003826F8" w:rsidRDefault="00F9640C" w:rsidP="003826F8">
      <w:pPr>
        <w:spacing w:before="120" w:after="120"/>
        <w:ind w:left="1701"/>
        <w:jc w:val="both"/>
        <w:rPr>
          <w:rFonts w:ascii="Arial" w:hAnsi="Arial" w:cs="Arial"/>
        </w:rPr>
      </w:pPr>
      <w:r w:rsidRPr="003826F8">
        <w:rPr>
          <w:rFonts w:ascii="Arial" w:hAnsi="Arial" w:cs="Arial"/>
          <w:b/>
          <w:bCs/>
        </w:rPr>
        <w:t>J</w:t>
      </w:r>
      <w:r w:rsidRPr="003826F8">
        <w:rPr>
          <w:rFonts w:ascii="Arial" w:hAnsi="Arial" w:cs="Arial"/>
          <w:b/>
          <w:bCs/>
          <w:vertAlign w:val="subscript"/>
        </w:rPr>
        <w:t>n</w:t>
      </w:r>
      <w:r w:rsidRPr="003826F8">
        <w:rPr>
          <w:rFonts w:ascii="Arial" w:hAnsi="Arial" w:cs="Arial"/>
        </w:rPr>
        <w:t>:</w:t>
      </w:r>
      <w:r w:rsidRPr="003826F8">
        <w:rPr>
          <w:rFonts w:ascii="Arial" w:hAnsi="Arial" w:cs="Arial"/>
        </w:rPr>
        <w:tab/>
        <w:t>Juros devidos pelo Cliente Final, em R$, no momento “n”;</w:t>
      </w:r>
    </w:p>
    <w:p w14:paraId="51CE846D" w14:textId="77777777" w:rsidR="00F9640C" w:rsidRPr="003826F8" w:rsidRDefault="00F9640C" w:rsidP="003826F8">
      <w:pPr>
        <w:spacing w:before="120" w:after="120"/>
        <w:ind w:left="1701"/>
        <w:jc w:val="both"/>
        <w:rPr>
          <w:rFonts w:ascii="Arial" w:hAnsi="Arial" w:cs="Arial"/>
        </w:rPr>
      </w:pPr>
      <w:r w:rsidRPr="003826F8">
        <w:rPr>
          <w:rFonts w:ascii="Arial" w:hAnsi="Arial" w:cs="Arial"/>
          <w:b/>
          <w:bCs/>
        </w:rPr>
        <w:t>SD</w:t>
      </w:r>
      <w:r w:rsidRPr="003826F8">
        <w:rPr>
          <w:rFonts w:ascii="Arial" w:hAnsi="Arial" w:cs="Arial"/>
          <w:b/>
          <w:bCs/>
          <w:vertAlign w:val="subscript"/>
        </w:rPr>
        <w:t>n-1</w:t>
      </w:r>
      <w:r w:rsidRPr="003826F8">
        <w:rPr>
          <w:rFonts w:ascii="Arial" w:hAnsi="Arial" w:cs="Arial"/>
        </w:rPr>
        <w:t>:</w:t>
      </w:r>
      <w:r w:rsidRPr="003826F8">
        <w:rPr>
          <w:rFonts w:ascii="Arial" w:hAnsi="Arial" w:cs="Arial"/>
        </w:rPr>
        <w:tab/>
        <w:t xml:space="preserve"> Saldo Devedor, em R$, no momento “n-1”;</w:t>
      </w:r>
    </w:p>
    <w:p w14:paraId="7ABB1F03" w14:textId="77777777" w:rsidR="00F9640C" w:rsidRPr="003826F8" w:rsidRDefault="00F9640C" w:rsidP="003826F8">
      <w:pPr>
        <w:spacing w:before="120" w:after="120"/>
        <w:ind w:left="1701"/>
        <w:jc w:val="both"/>
        <w:rPr>
          <w:rFonts w:ascii="Arial" w:hAnsi="Arial" w:cs="Arial"/>
          <w:b/>
          <w:i/>
          <w:snapToGrid w:val="0"/>
          <w:color w:val="000099"/>
          <w:sz w:val="20"/>
        </w:rPr>
      </w:pPr>
      <w:r w:rsidRPr="003826F8">
        <w:rPr>
          <w:rFonts w:ascii="Arial" w:hAnsi="Arial" w:cs="Arial"/>
          <w:b/>
          <w:bCs/>
        </w:rPr>
        <w:t>N</w:t>
      </w:r>
      <w:r w:rsidRPr="003826F8">
        <w:rPr>
          <w:rFonts w:ascii="Arial" w:hAnsi="Arial" w:cs="Arial"/>
        </w:rPr>
        <w:t xml:space="preserve">:  Número de dias existentes entre a data de cada evento financeiro e a data de vencimento ou liquidação da obrigação, considerando-se como evento financeiro todo e qualquer fato de natureza financeira do qual possa resultar alteração do saldo devedor do contrato; </w:t>
      </w:r>
    </w:p>
    <w:p w14:paraId="77A1B8FD" w14:textId="77777777" w:rsidR="00F9640C" w:rsidRPr="003826F8" w:rsidRDefault="00F9640C" w:rsidP="003826F8">
      <w:pPr>
        <w:spacing w:before="120" w:after="120"/>
        <w:ind w:left="1701"/>
        <w:jc w:val="both"/>
        <w:rPr>
          <w:rFonts w:ascii="Arial" w:hAnsi="Arial" w:cs="Arial"/>
          <w:b/>
          <w:i/>
          <w:snapToGrid w:val="0"/>
          <w:color w:val="000099"/>
          <w:sz w:val="20"/>
        </w:rPr>
      </w:pPr>
      <w:r w:rsidRPr="003826F8">
        <w:rPr>
          <w:rFonts w:ascii="Arial" w:hAnsi="Arial" w:cs="Arial"/>
          <w:b/>
          <w:bCs/>
        </w:rPr>
        <w:t>Y</w:t>
      </w:r>
      <w:r w:rsidRPr="003826F8">
        <w:rPr>
          <w:rFonts w:ascii="Arial" w:hAnsi="Arial" w:cs="Arial"/>
        </w:rPr>
        <w:t xml:space="preserve">: Quantidade de dias no ano civil, podendo ser 365 ou 366, conforme o caso; e </w:t>
      </w:r>
    </w:p>
    <w:p w14:paraId="6843BEFA" w14:textId="2A5B131D" w:rsidR="00F9640C" w:rsidRPr="003826F8" w:rsidRDefault="00F9640C" w:rsidP="003826F8">
      <w:pPr>
        <w:pStyle w:val="BNDES"/>
        <w:spacing w:before="120" w:after="120"/>
        <w:ind w:left="1701"/>
      </w:pPr>
      <w:r w:rsidRPr="003826F8">
        <w:rPr>
          <w:rFonts w:cs="Arial"/>
          <w:b/>
          <w:bCs/>
          <w:szCs w:val="24"/>
        </w:rPr>
        <w:t>Taxa de Juros</w:t>
      </w:r>
      <w:r w:rsidRPr="003826F8">
        <w:rPr>
          <w:rFonts w:cs="Arial"/>
          <w:szCs w:val="24"/>
        </w:rPr>
        <w:t>: é o produto do Custo Financeiro TF</w:t>
      </w:r>
      <w:r w:rsidR="00506641" w:rsidRPr="003826F8">
        <w:rPr>
          <w:rFonts w:cs="Arial"/>
          <w:szCs w:val="24"/>
        </w:rPr>
        <w:t>B</w:t>
      </w:r>
      <w:r w:rsidRPr="003826F8">
        <w:rPr>
          <w:rFonts w:cs="Arial"/>
          <w:szCs w:val="24"/>
        </w:rPr>
        <w:t>TR, da Remuneração do BNDES e da Remuneração da Instituição Financeira Credenciada.</w:t>
      </w:r>
    </w:p>
    <w:p w14:paraId="16FDF47F" w14:textId="55F98C43" w:rsidR="00E97613" w:rsidRPr="003826F8" w:rsidRDefault="00F9640C" w:rsidP="003826F8">
      <w:pPr>
        <w:pStyle w:val="BNDES"/>
        <w:numPr>
          <w:ilvl w:val="2"/>
          <w:numId w:val="8"/>
        </w:numPr>
        <w:tabs>
          <w:tab w:val="clear" w:pos="1440"/>
          <w:tab w:val="num" w:pos="1701"/>
        </w:tabs>
        <w:spacing w:before="120" w:after="120"/>
        <w:ind w:left="1701" w:hanging="708"/>
      </w:pPr>
      <w:r w:rsidRPr="003826F8">
        <w:rPr>
          <w:rFonts w:cs="Arial"/>
          <w:szCs w:val="24"/>
        </w:rPr>
        <w:lastRenderedPageBreak/>
        <w:t xml:space="preserve">Na </w:t>
      </w:r>
      <w:r w:rsidRPr="003826F8">
        <w:rPr>
          <w:rFonts w:cs="Arial"/>
        </w:rPr>
        <w:t>hipótese de operação sujeita ao envio de documentação anexa ao protocolo da operação, é obrigatório que seja utilizada a TF</w:t>
      </w:r>
      <w:r w:rsidR="00506641" w:rsidRPr="003826F8">
        <w:rPr>
          <w:rFonts w:cs="Arial"/>
        </w:rPr>
        <w:t>B</w:t>
      </w:r>
      <w:r w:rsidRPr="003826F8">
        <w:rPr>
          <w:rFonts w:cs="Arial"/>
        </w:rPr>
        <w:t>TR válida na data da contratação da operação de crédito com o Cliente Final sendo, portanto, vedada, nessa hipótese, a utilização da TF</w:t>
      </w:r>
      <w:r w:rsidR="00506641" w:rsidRPr="003826F8">
        <w:rPr>
          <w:rFonts w:cs="Arial"/>
        </w:rPr>
        <w:t>B</w:t>
      </w:r>
      <w:r w:rsidRPr="003826F8">
        <w:rPr>
          <w:rFonts w:cs="Arial"/>
        </w:rPr>
        <w:t>TR da data de protocolo da operação junto ao Sistema BNDES.</w:t>
      </w:r>
    </w:p>
    <w:p w14:paraId="4DA71253" w14:textId="77777777" w:rsidR="00A606DA" w:rsidRPr="003826F8" w:rsidRDefault="00CA199D" w:rsidP="00ED5BB6">
      <w:pPr>
        <w:pStyle w:val="BNDES"/>
        <w:keepNext/>
        <w:numPr>
          <w:ilvl w:val="0"/>
          <w:numId w:val="8"/>
        </w:numPr>
        <w:tabs>
          <w:tab w:val="num" w:pos="142"/>
          <w:tab w:val="left" w:pos="426"/>
        </w:tabs>
        <w:spacing w:before="360" w:after="120"/>
        <w:ind w:left="426" w:hanging="426"/>
        <w:rPr>
          <w:b/>
        </w:rPr>
      </w:pPr>
      <w:r w:rsidRPr="003826F8">
        <w:rPr>
          <w:b/>
        </w:rPr>
        <w:t>CONTRATAÇÃO</w:t>
      </w:r>
    </w:p>
    <w:p w14:paraId="1D76D75E" w14:textId="77777777" w:rsidR="00CA199D" w:rsidRPr="003826F8" w:rsidRDefault="00CA199D" w:rsidP="00F83D4F">
      <w:pPr>
        <w:pStyle w:val="BNDES"/>
        <w:numPr>
          <w:ilvl w:val="1"/>
          <w:numId w:val="8"/>
        </w:numPr>
        <w:tabs>
          <w:tab w:val="clear" w:pos="1080"/>
          <w:tab w:val="num" w:pos="993"/>
        </w:tabs>
        <w:spacing w:before="120" w:after="120"/>
        <w:ind w:left="993" w:hanging="567"/>
      </w:pPr>
      <w:r w:rsidRPr="003826F8">
        <w:rPr>
          <w:rFonts w:cs="Arial"/>
          <w:color w:val="000000"/>
          <w:szCs w:val="24"/>
        </w:rPr>
        <w:t>Deverá ser seguido o disposto no item “Contratação” d</w:t>
      </w:r>
      <w:r w:rsidR="00A141AB" w:rsidRPr="003826F8">
        <w:rPr>
          <w:rFonts w:cs="Arial"/>
          <w:color w:val="000000"/>
          <w:szCs w:val="24"/>
        </w:rPr>
        <w:t>o Anexo I à</w:t>
      </w:r>
      <w:r w:rsidRPr="003826F8">
        <w:rPr>
          <w:rFonts w:cs="Arial"/>
          <w:color w:val="000000"/>
          <w:szCs w:val="24"/>
        </w:rPr>
        <w:t xml:space="preserve"> Circular </w:t>
      </w:r>
      <w:r w:rsidR="00A141AB" w:rsidRPr="003826F8">
        <w:rPr>
          <w:rFonts w:cs="Arial"/>
          <w:szCs w:val="24"/>
        </w:rPr>
        <w:t>de Orientações Básicas e Procedimentos Operacionais</w:t>
      </w:r>
      <w:r w:rsidRPr="003826F8">
        <w:rPr>
          <w:rFonts w:cs="Arial"/>
          <w:color w:val="000000"/>
          <w:szCs w:val="24"/>
        </w:rPr>
        <w:t>.</w:t>
      </w:r>
    </w:p>
    <w:p w14:paraId="7D6FC0BA" w14:textId="6BC09FA7" w:rsidR="00CB7E0E" w:rsidRPr="003826F8" w:rsidRDefault="00CA199D" w:rsidP="00CA199D">
      <w:pPr>
        <w:pStyle w:val="BNDES"/>
        <w:numPr>
          <w:ilvl w:val="1"/>
          <w:numId w:val="8"/>
        </w:numPr>
        <w:tabs>
          <w:tab w:val="clear" w:pos="1080"/>
          <w:tab w:val="num" w:pos="993"/>
        </w:tabs>
        <w:spacing w:before="120" w:after="120"/>
        <w:ind w:left="993" w:hanging="567"/>
      </w:pPr>
      <w:r w:rsidRPr="003826F8">
        <w:rPr>
          <w:rFonts w:cs="Arial"/>
          <w:szCs w:val="24"/>
        </w:rPr>
        <w:t>Deverão ser inseridas</w:t>
      </w:r>
      <w:r w:rsidR="009E6BB1">
        <w:rPr>
          <w:rFonts w:cs="Arial"/>
          <w:szCs w:val="24"/>
        </w:rPr>
        <w:t>,</w:t>
      </w:r>
      <w:r w:rsidRPr="003826F8">
        <w:rPr>
          <w:rFonts w:cs="Arial"/>
          <w:szCs w:val="24"/>
        </w:rPr>
        <w:t xml:space="preserve"> </w:t>
      </w:r>
      <w:r w:rsidR="003D4AFE" w:rsidRPr="003826F8">
        <w:rPr>
          <w:rFonts w:cs="Arial"/>
          <w:szCs w:val="24"/>
        </w:rPr>
        <w:t xml:space="preserve">nos contratos celebrados com </w:t>
      </w:r>
      <w:r w:rsidR="009E6BB1">
        <w:rPr>
          <w:rFonts w:cs="Arial"/>
          <w:szCs w:val="24"/>
        </w:rPr>
        <w:t>os Clientes</w:t>
      </w:r>
      <w:r w:rsidR="003D4AFE" w:rsidRPr="003826F8">
        <w:rPr>
          <w:rFonts w:cs="Arial"/>
          <w:szCs w:val="24"/>
        </w:rPr>
        <w:t xml:space="preserve"> Finais</w:t>
      </w:r>
      <w:r w:rsidR="009E6BB1">
        <w:rPr>
          <w:rFonts w:cs="Arial"/>
          <w:szCs w:val="24"/>
        </w:rPr>
        <w:t>,</w:t>
      </w:r>
      <w:r w:rsidR="003D4AFE" w:rsidRPr="003826F8">
        <w:rPr>
          <w:rFonts w:cs="Arial"/>
          <w:szCs w:val="24"/>
        </w:rPr>
        <w:t xml:space="preserve"> </w:t>
      </w:r>
      <w:r w:rsidRPr="003826F8">
        <w:rPr>
          <w:rFonts w:cs="Arial"/>
          <w:szCs w:val="24"/>
        </w:rPr>
        <w:t xml:space="preserve">as “Condições a serem observadas pelas Instituições Financeiras Credenciadas na Contratação da Operação”, nos termos do Anexo </w:t>
      </w:r>
      <w:r w:rsidR="00DA182E" w:rsidRPr="003826F8">
        <w:rPr>
          <w:rFonts w:cs="Arial"/>
          <w:szCs w:val="24"/>
        </w:rPr>
        <w:t>I</w:t>
      </w:r>
      <w:r w:rsidRPr="003826F8">
        <w:rPr>
          <w:rFonts w:cs="Arial"/>
          <w:szCs w:val="24"/>
        </w:rPr>
        <w:t xml:space="preserve">V à Circular </w:t>
      </w:r>
      <w:r w:rsidR="00DA182E" w:rsidRPr="003826F8">
        <w:rPr>
          <w:rFonts w:cs="Arial"/>
          <w:szCs w:val="24"/>
        </w:rPr>
        <w:t>de Orientações Básicas e Procedimentos Operacionais</w:t>
      </w:r>
      <w:r w:rsidR="00CB7E0E" w:rsidRPr="003826F8">
        <w:rPr>
          <w:rFonts w:cs="Arial"/>
          <w:szCs w:val="24"/>
        </w:rPr>
        <w:t>.</w:t>
      </w:r>
    </w:p>
    <w:p w14:paraId="7330E31F" w14:textId="692F9C39" w:rsidR="00C83F21" w:rsidRPr="003826F8" w:rsidRDefault="00CB7E0E" w:rsidP="00CB7E0E">
      <w:pPr>
        <w:pStyle w:val="BNDES"/>
        <w:numPr>
          <w:ilvl w:val="2"/>
          <w:numId w:val="8"/>
        </w:numPr>
        <w:tabs>
          <w:tab w:val="clear" w:pos="1440"/>
          <w:tab w:val="num" w:pos="1701"/>
        </w:tabs>
        <w:spacing w:before="120" w:after="120"/>
        <w:ind w:left="1701" w:hanging="708"/>
      </w:pPr>
      <w:r w:rsidRPr="003826F8">
        <w:rPr>
          <w:szCs w:val="24"/>
        </w:rPr>
        <w:t xml:space="preserve">Quando se tratar de operação de crédito que tenha como Custo Financeiro a </w:t>
      </w:r>
      <w:r w:rsidRPr="003826F8">
        <w:rPr>
          <w:rFonts w:cs="Arial"/>
          <w:szCs w:val="24"/>
        </w:rPr>
        <w:t>TR</w:t>
      </w:r>
      <w:r w:rsidR="00D72DEF">
        <w:rPr>
          <w:rFonts w:cs="Arial"/>
          <w:szCs w:val="24"/>
        </w:rPr>
        <w:t xml:space="preserve"> ou a TFBTR</w:t>
      </w:r>
      <w:r w:rsidRPr="003826F8">
        <w:rPr>
          <w:rFonts w:cs="Arial"/>
          <w:szCs w:val="24"/>
        </w:rPr>
        <w:t>, dever</w:t>
      </w:r>
      <w:r w:rsidR="009E6BB1">
        <w:rPr>
          <w:rFonts w:cs="Arial"/>
          <w:szCs w:val="24"/>
        </w:rPr>
        <w:t>ão</w:t>
      </w:r>
      <w:r w:rsidRPr="003826F8">
        <w:rPr>
          <w:rFonts w:cs="Arial"/>
          <w:szCs w:val="24"/>
        </w:rPr>
        <w:t xml:space="preserve"> ser observad</w:t>
      </w:r>
      <w:r w:rsidR="009E6BB1">
        <w:rPr>
          <w:rFonts w:cs="Arial"/>
          <w:szCs w:val="24"/>
        </w:rPr>
        <w:t>as</w:t>
      </w:r>
      <w:r w:rsidRPr="003826F8">
        <w:rPr>
          <w:rFonts w:cs="Arial"/>
          <w:szCs w:val="24"/>
        </w:rPr>
        <w:t>, adicionalmente, as cláusulas constantes do Anexo à presente Circular</w:t>
      </w:r>
      <w:r w:rsidR="00C83F21" w:rsidRPr="003826F8">
        <w:t>.</w:t>
      </w:r>
    </w:p>
    <w:p w14:paraId="35862262" w14:textId="77777777" w:rsidR="00CA199D" w:rsidRPr="003826F8" w:rsidRDefault="00CA199D" w:rsidP="00CA199D">
      <w:pPr>
        <w:pStyle w:val="BNDES"/>
        <w:keepNext/>
        <w:numPr>
          <w:ilvl w:val="0"/>
          <w:numId w:val="8"/>
        </w:numPr>
        <w:tabs>
          <w:tab w:val="num" w:pos="142"/>
          <w:tab w:val="left" w:pos="426"/>
        </w:tabs>
        <w:spacing w:before="360" w:after="120"/>
        <w:ind w:left="426" w:hanging="426"/>
        <w:rPr>
          <w:b/>
        </w:rPr>
      </w:pPr>
      <w:r w:rsidRPr="003826F8">
        <w:rPr>
          <w:b/>
        </w:rPr>
        <w:t>DEMAIS ORIENTAÇÕES</w:t>
      </w:r>
    </w:p>
    <w:p w14:paraId="6387A647" w14:textId="2B82807B" w:rsidR="00FD1F81" w:rsidRPr="003826F8" w:rsidRDefault="00FD1F81" w:rsidP="00F83D4F">
      <w:pPr>
        <w:pStyle w:val="BNDES"/>
        <w:numPr>
          <w:ilvl w:val="1"/>
          <w:numId w:val="8"/>
        </w:numPr>
        <w:tabs>
          <w:tab w:val="clear" w:pos="1080"/>
          <w:tab w:val="num" w:pos="993"/>
        </w:tabs>
        <w:spacing w:before="120" w:after="120"/>
        <w:ind w:left="993" w:hanging="567"/>
      </w:pPr>
      <w:r w:rsidRPr="003826F8">
        <w:t>As Instituições Financeiras Credenciadas deverão inserir nos instrumentos de crédito que formalizarem as operações cláusulas que prevejam:</w:t>
      </w:r>
    </w:p>
    <w:p w14:paraId="4887A5D5" w14:textId="1817A02C" w:rsidR="00FD1F81" w:rsidRPr="003826F8" w:rsidRDefault="00FD1F81" w:rsidP="00FD1F81">
      <w:pPr>
        <w:pStyle w:val="BNDES"/>
        <w:numPr>
          <w:ilvl w:val="2"/>
          <w:numId w:val="8"/>
        </w:numPr>
        <w:tabs>
          <w:tab w:val="clear" w:pos="1440"/>
        </w:tabs>
        <w:spacing w:before="120" w:after="120"/>
        <w:ind w:left="1701" w:hanging="709"/>
      </w:pPr>
      <w:r w:rsidRPr="003826F8">
        <w:t>o fornecimento de informações solicitadas pelo Conselho Gestor do FUST, sob pena de suspensão de liberações das parcelas de crédito, ou de novas contratações com recursos do FUST; e</w:t>
      </w:r>
    </w:p>
    <w:p w14:paraId="5D687739" w14:textId="75A23D1C" w:rsidR="00FD1F81" w:rsidRPr="003826F8" w:rsidRDefault="00FD1F81" w:rsidP="00FD1F81">
      <w:pPr>
        <w:pStyle w:val="BNDES"/>
        <w:numPr>
          <w:ilvl w:val="2"/>
          <w:numId w:val="8"/>
        </w:numPr>
        <w:tabs>
          <w:tab w:val="clear" w:pos="1440"/>
        </w:tabs>
        <w:spacing w:before="120" w:after="120"/>
        <w:ind w:left="1701" w:hanging="709"/>
      </w:pPr>
      <w:r w:rsidRPr="003826F8">
        <w:t>a menção, sempre com destaque, em qualquer divulgação relacionada ao bem financiado, da colaboração do Fundo, mediante a utilização da logomarca do FUST.</w:t>
      </w:r>
    </w:p>
    <w:p w14:paraId="75E1E8D5" w14:textId="7F9FB663" w:rsidR="0023214D" w:rsidRPr="003826F8" w:rsidRDefault="0023214D" w:rsidP="00F83D4F">
      <w:pPr>
        <w:pStyle w:val="BNDES"/>
        <w:numPr>
          <w:ilvl w:val="1"/>
          <w:numId w:val="8"/>
        </w:numPr>
        <w:tabs>
          <w:tab w:val="clear" w:pos="1080"/>
          <w:tab w:val="num" w:pos="993"/>
        </w:tabs>
        <w:spacing w:before="120" w:after="120"/>
        <w:ind w:left="993" w:hanging="567"/>
      </w:pPr>
      <w:r w:rsidRPr="003826F8">
        <w:t>As Instituições Financeiras Credenciadas estão obrigadas a prestar contas ao Sistema BNDES sobre a utilização dos recursos, bem como sobre os resultados obtidos com os financiamentos.</w:t>
      </w:r>
    </w:p>
    <w:p w14:paraId="2D24E4A9" w14:textId="60AAD13D" w:rsidR="00442DEA" w:rsidRPr="003826F8" w:rsidRDefault="00442DEA" w:rsidP="00F83D4F">
      <w:pPr>
        <w:pStyle w:val="BNDES"/>
        <w:numPr>
          <w:ilvl w:val="1"/>
          <w:numId w:val="8"/>
        </w:numPr>
        <w:tabs>
          <w:tab w:val="clear" w:pos="1080"/>
          <w:tab w:val="num" w:pos="993"/>
        </w:tabs>
        <w:spacing w:before="120" w:after="120"/>
        <w:ind w:left="993" w:hanging="567"/>
      </w:pPr>
      <w:r w:rsidRPr="003826F8">
        <w:t>A homologação da operação fica condicionada à comprovação</w:t>
      </w:r>
      <w:r w:rsidR="0079572F">
        <w:t>,</w:t>
      </w:r>
      <w:r w:rsidRPr="003826F8">
        <w:t xml:space="preserve"> pelo Cliente</w:t>
      </w:r>
      <w:r w:rsidR="0079572F">
        <w:t xml:space="preserve"> Final</w:t>
      </w:r>
      <w:r w:rsidRPr="003826F8">
        <w:t xml:space="preserve"> junto à Instituição Financeira Credenciada</w:t>
      </w:r>
      <w:r w:rsidR="0079572F">
        <w:t>,</w:t>
      </w:r>
      <w:r w:rsidRPr="003826F8">
        <w:t xml:space="preserve"> da última atualização mensal das informações no Sistema Coleta da Anatel</w:t>
      </w:r>
      <w:r w:rsidR="00882B60">
        <w:t xml:space="preserve"> referente ao mês imediatamente anterior ao mês da homologação</w:t>
      </w:r>
      <w:r w:rsidR="005A77B6">
        <w:t>, a ser mantida no dossiê da operação</w:t>
      </w:r>
      <w:r w:rsidRPr="003826F8">
        <w:t>.</w:t>
      </w:r>
    </w:p>
    <w:p w14:paraId="76AE2E68" w14:textId="77777777" w:rsidR="00553B64" w:rsidRPr="003826F8" w:rsidRDefault="00A606DA" w:rsidP="00F83D4F">
      <w:pPr>
        <w:pStyle w:val="BNDES"/>
        <w:numPr>
          <w:ilvl w:val="1"/>
          <w:numId w:val="8"/>
        </w:numPr>
        <w:tabs>
          <w:tab w:val="clear" w:pos="1080"/>
          <w:tab w:val="num" w:pos="993"/>
        </w:tabs>
        <w:spacing w:before="120" w:after="120"/>
        <w:ind w:left="993" w:hanging="567"/>
      </w:pPr>
      <w:r w:rsidRPr="003826F8">
        <w:t>Aplicam-se ao presente Programa</w:t>
      </w:r>
      <w:r w:rsidR="00AC0536" w:rsidRPr="003826F8">
        <w:t xml:space="preserve"> as condições e procedimentos estabelecidos na Circular </w:t>
      </w:r>
      <w:r w:rsidR="00DA182E" w:rsidRPr="003826F8">
        <w:t xml:space="preserve">de </w:t>
      </w:r>
      <w:r w:rsidR="00DA182E" w:rsidRPr="003826F8">
        <w:rPr>
          <w:rFonts w:cs="Arial"/>
          <w:szCs w:val="24"/>
        </w:rPr>
        <w:t>Orientações Básicas e Procedimentos Operacionais</w:t>
      </w:r>
      <w:r w:rsidR="002651E1" w:rsidRPr="003826F8">
        <w:t xml:space="preserve">, </w:t>
      </w:r>
      <w:r w:rsidR="00AC0536" w:rsidRPr="003826F8">
        <w:t xml:space="preserve">bem como, </w:t>
      </w:r>
      <w:r w:rsidR="002651E1" w:rsidRPr="003826F8">
        <w:t xml:space="preserve">no que couber, </w:t>
      </w:r>
      <w:r w:rsidR="00D119FC" w:rsidRPr="003826F8">
        <w:t>a</w:t>
      </w:r>
      <w:r w:rsidRPr="003826F8">
        <w:t xml:space="preserve">s demais condições e procedimentos operacionais estabelecidos para o Produto </w:t>
      </w:r>
      <w:r w:rsidR="00213C61" w:rsidRPr="003826F8">
        <w:t xml:space="preserve">BNDES </w:t>
      </w:r>
      <w:r w:rsidR="00AD31A1" w:rsidRPr="003826F8">
        <w:t>Finame</w:t>
      </w:r>
      <w:r w:rsidR="00D36082" w:rsidRPr="003826F8">
        <w:t>.</w:t>
      </w:r>
    </w:p>
    <w:p w14:paraId="133755E1" w14:textId="77777777" w:rsidR="00A606DA" w:rsidRPr="009D0B4D" w:rsidRDefault="00A606DA" w:rsidP="00ED5BB6">
      <w:pPr>
        <w:pStyle w:val="BNDES"/>
        <w:keepNext/>
        <w:numPr>
          <w:ilvl w:val="0"/>
          <w:numId w:val="8"/>
        </w:numPr>
        <w:tabs>
          <w:tab w:val="num" w:pos="142"/>
          <w:tab w:val="left" w:pos="426"/>
        </w:tabs>
        <w:spacing w:before="360" w:after="120"/>
        <w:ind w:left="426" w:hanging="426"/>
        <w:rPr>
          <w:rFonts w:cs="Arial"/>
          <w:b/>
        </w:rPr>
      </w:pPr>
      <w:r w:rsidRPr="009D0B4D">
        <w:rPr>
          <w:rFonts w:cs="Arial"/>
          <w:b/>
        </w:rPr>
        <w:lastRenderedPageBreak/>
        <w:t xml:space="preserve">VIGÊNCIA </w:t>
      </w:r>
    </w:p>
    <w:p w14:paraId="4CE64339" w14:textId="23F5DF2E" w:rsidR="00F44931" w:rsidRPr="009D0B4D" w:rsidRDefault="00F44931" w:rsidP="00ED5BB6">
      <w:pPr>
        <w:pStyle w:val="Recuodecorpodetexto2"/>
        <w:keepNext/>
        <w:widowControl/>
        <w:ind w:left="426"/>
      </w:pPr>
      <w:r w:rsidRPr="009D0B4D">
        <w:t>Esta Circular entra em vigor</w:t>
      </w:r>
      <w:r w:rsidR="003A6419" w:rsidRPr="009D0B4D">
        <w:t xml:space="preserve"> </w:t>
      </w:r>
      <w:r w:rsidR="008F1498" w:rsidRPr="009D0B4D">
        <w:t xml:space="preserve">em </w:t>
      </w:r>
      <w:r w:rsidR="000E3571" w:rsidRPr="000C75B1">
        <w:rPr>
          <w:b/>
          <w:bCs/>
        </w:rPr>
        <w:t>0</w:t>
      </w:r>
      <w:r w:rsidR="000E3571">
        <w:rPr>
          <w:b/>
          <w:bCs/>
        </w:rPr>
        <w:t>6</w:t>
      </w:r>
      <w:r w:rsidR="008F1498" w:rsidRPr="000C75B1">
        <w:rPr>
          <w:b/>
          <w:bCs/>
        </w:rPr>
        <w:t>.</w:t>
      </w:r>
      <w:r w:rsidR="00B401A8" w:rsidRPr="000C75B1">
        <w:rPr>
          <w:b/>
        </w:rPr>
        <w:t>0</w:t>
      </w:r>
      <w:r w:rsidR="00B401A8">
        <w:rPr>
          <w:b/>
        </w:rPr>
        <w:t>3</w:t>
      </w:r>
      <w:r w:rsidR="008F1498" w:rsidRPr="000C75B1">
        <w:rPr>
          <w:b/>
        </w:rPr>
        <w:t>.202</w:t>
      </w:r>
      <w:r w:rsidR="00B401A8">
        <w:rPr>
          <w:b/>
        </w:rPr>
        <w:t>4</w:t>
      </w:r>
      <w:r w:rsidR="00B401A8">
        <w:t>, ficando revogada a Circular SUP/ADIG nº 43/2023-BNDES, de 25.08.2023.</w:t>
      </w:r>
    </w:p>
    <w:p w14:paraId="38ADBB2C" w14:textId="77777777" w:rsidR="00A606DA" w:rsidRPr="009D0B4D" w:rsidRDefault="00A606DA" w:rsidP="00ED5BB6">
      <w:pPr>
        <w:keepNext/>
        <w:jc w:val="center"/>
        <w:rPr>
          <w:rFonts w:ascii="Arial" w:hAnsi="Arial" w:cs="Arial"/>
        </w:rPr>
      </w:pPr>
    </w:p>
    <w:p w14:paraId="7BF25C2D" w14:textId="77777777" w:rsidR="00A94DEF" w:rsidRPr="009D0B4D" w:rsidRDefault="00A94DEF" w:rsidP="00ED5BB6">
      <w:pPr>
        <w:keepNext/>
        <w:jc w:val="center"/>
        <w:rPr>
          <w:rFonts w:ascii="Arial" w:hAnsi="Arial" w:cs="Arial"/>
        </w:rPr>
      </w:pPr>
    </w:p>
    <w:p w14:paraId="1BC71858" w14:textId="77777777" w:rsidR="003A6419" w:rsidRPr="009D0B4D" w:rsidRDefault="003A6419" w:rsidP="00ED5BB6">
      <w:pPr>
        <w:keepNext/>
        <w:jc w:val="center"/>
        <w:rPr>
          <w:rFonts w:ascii="Arial" w:hAnsi="Arial" w:cs="Arial"/>
        </w:rPr>
      </w:pPr>
    </w:p>
    <w:p w14:paraId="3FFDB452" w14:textId="66C9BFA1" w:rsidR="003A6419" w:rsidRPr="009D0B4D" w:rsidRDefault="00DC045F" w:rsidP="00ED5BB6">
      <w:pPr>
        <w:keepNext/>
        <w:jc w:val="center"/>
        <w:rPr>
          <w:rFonts w:ascii="Arial" w:hAnsi="Arial" w:cs="Arial"/>
        </w:rPr>
      </w:pPr>
      <w:r w:rsidRPr="00DC045F">
        <w:rPr>
          <w:rFonts w:ascii="Arial" w:hAnsi="Arial" w:cs="Arial"/>
        </w:rPr>
        <w:t>Fernando Antunes de Oliveira Mantese</w:t>
      </w:r>
    </w:p>
    <w:p w14:paraId="02FB8B27" w14:textId="217AE2A0" w:rsidR="00A606DA" w:rsidRPr="009D0B4D" w:rsidRDefault="003A6419" w:rsidP="00ED5BB6">
      <w:pPr>
        <w:keepNext/>
        <w:jc w:val="center"/>
        <w:rPr>
          <w:rFonts w:ascii="Arial" w:hAnsi="Arial" w:cs="Arial"/>
        </w:rPr>
      </w:pPr>
      <w:r w:rsidRPr="009D0B4D">
        <w:rPr>
          <w:rFonts w:ascii="Arial" w:hAnsi="Arial" w:cs="Arial"/>
        </w:rPr>
        <w:t>Superintendente</w:t>
      </w:r>
      <w:r w:rsidR="00DC045F">
        <w:rPr>
          <w:rFonts w:ascii="Arial" w:hAnsi="Arial" w:cs="Arial"/>
        </w:rPr>
        <w:t xml:space="preserve"> Substituto</w:t>
      </w:r>
    </w:p>
    <w:p w14:paraId="07161716" w14:textId="77777777" w:rsidR="00A606DA" w:rsidRPr="009D0B4D" w:rsidRDefault="00A606DA" w:rsidP="00ED5BB6">
      <w:pPr>
        <w:keepNext/>
        <w:jc w:val="center"/>
        <w:rPr>
          <w:rFonts w:ascii="Arial" w:hAnsi="Arial" w:cs="Arial"/>
        </w:rPr>
      </w:pPr>
      <w:r w:rsidRPr="009D0B4D">
        <w:rPr>
          <w:rFonts w:ascii="Arial" w:hAnsi="Arial" w:cs="Arial"/>
        </w:rPr>
        <w:t xml:space="preserve">Área </w:t>
      </w:r>
      <w:r w:rsidR="00213C61" w:rsidRPr="009D0B4D">
        <w:rPr>
          <w:rFonts w:ascii="Arial" w:hAnsi="Arial" w:cs="Arial"/>
        </w:rPr>
        <w:t xml:space="preserve">de Operações </w:t>
      </w:r>
      <w:r w:rsidR="00115DC6" w:rsidRPr="009D0B4D">
        <w:rPr>
          <w:rFonts w:ascii="Arial" w:hAnsi="Arial" w:cs="Arial"/>
        </w:rPr>
        <w:t>e Canais Digitais</w:t>
      </w:r>
      <w:r w:rsidRPr="009D0B4D">
        <w:rPr>
          <w:rFonts w:ascii="Arial" w:hAnsi="Arial" w:cs="Arial"/>
        </w:rPr>
        <w:t xml:space="preserve"> </w:t>
      </w:r>
    </w:p>
    <w:p w14:paraId="75805825" w14:textId="77777777" w:rsidR="00C83F21" w:rsidRPr="009D0B4D" w:rsidRDefault="00A606DA" w:rsidP="00DA182E">
      <w:pPr>
        <w:keepNext/>
        <w:jc w:val="center"/>
        <w:sectPr w:rsidR="00C83F21" w:rsidRPr="009D0B4D" w:rsidSect="000C75B1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701" w:right="851" w:bottom="1134" w:left="1418" w:header="720" w:footer="686" w:gutter="0"/>
          <w:pgNumType w:start="1"/>
          <w:cols w:space="720"/>
        </w:sectPr>
      </w:pPr>
      <w:r w:rsidRPr="009D0B4D">
        <w:rPr>
          <w:rFonts w:ascii="Arial" w:hAnsi="Arial" w:cs="Arial"/>
        </w:rPr>
        <w:t>BNDES</w:t>
      </w:r>
      <w:bookmarkStart w:id="0" w:name="anexo2"/>
      <w:bookmarkEnd w:id="0"/>
    </w:p>
    <w:p w14:paraId="57C27A44" w14:textId="012B7BAB" w:rsidR="00F07AEA" w:rsidRDefault="00C83F21" w:rsidP="000C75B1">
      <w:pPr>
        <w:pStyle w:val="BNDES"/>
        <w:widowControl w:val="0"/>
        <w:jc w:val="left"/>
        <w:rPr>
          <w:rFonts w:cs="Arial"/>
          <w:b/>
        </w:rPr>
      </w:pPr>
      <w:r w:rsidRPr="003826F8">
        <w:rPr>
          <w:rFonts w:cs="Arial"/>
          <w:b/>
        </w:rPr>
        <w:lastRenderedPageBreak/>
        <w:t>Anexo</w:t>
      </w:r>
      <w:r w:rsidR="00245003">
        <w:rPr>
          <w:rFonts w:cs="Arial"/>
          <w:b/>
        </w:rPr>
        <w:t xml:space="preserve"> </w:t>
      </w:r>
      <w:r w:rsidRPr="003826F8">
        <w:rPr>
          <w:rFonts w:cs="Arial"/>
          <w:b/>
        </w:rPr>
        <w:t xml:space="preserve">à Circular SUP/ADIG nº </w:t>
      </w:r>
      <w:r w:rsidR="00227C00">
        <w:rPr>
          <w:rFonts w:cs="Arial"/>
          <w:b/>
        </w:rPr>
        <w:t>09</w:t>
      </w:r>
      <w:r w:rsidRPr="003826F8">
        <w:rPr>
          <w:rFonts w:cs="Arial"/>
          <w:b/>
        </w:rPr>
        <w:t>/</w:t>
      </w:r>
      <w:r w:rsidR="00B401A8" w:rsidRPr="003826F8">
        <w:rPr>
          <w:rFonts w:cs="Arial"/>
          <w:b/>
        </w:rPr>
        <w:t>202</w:t>
      </w:r>
      <w:r w:rsidR="00B401A8">
        <w:rPr>
          <w:rFonts w:cs="Arial"/>
          <w:b/>
        </w:rPr>
        <w:t>4</w:t>
      </w:r>
      <w:r w:rsidRPr="003826F8">
        <w:rPr>
          <w:rFonts w:cs="Arial"/>
          <w:b/>
        </w:rPr>
        <w:t xml:space="preserve">-BNDES, de </w:t>
      </w:r>
      <w:r w:rsidR="000E3571">
        <w:rPr>
          <w:rFonts w:cs="Arial"/>
          <w:b/>
        </w:rPr>
        <w:t>05</w:t>
      </w:r>
      <w:r w:rsidRPr="003826F8">
        <w:rPr>
          <w:rFonts w:cs="Arial"/>
          <w:b/>
        </w:rPr>
        <w:t>.</w:t>
      </w:r>
      <w:r w:rsidR="00B401A8">
        <w:rPr>
          <w:rFonts w:cs="Arial"/>
          <w:b/>
        </w:rPr>
        <w:t>03</w:t>
      </w:r>
      <w:r w:rsidRPr="003826F8">
        <w:rPr>
          <w:rFonts w:cs="Arial"/>
          <w:b/>
        </w:rPr>
        <w:t>.202</w:t>
      </w:r>
      <w:r w:rsidR="00B401A8">
        <w:rPr>
          <w:rFonts w:cs="Arial"/>
          <w:b/>
        </w:rPr>
        <w:t>4</w:t>
      </w:r>
    </w:p>
    <w:p w14:paraId="7BA316B2" w14:textId="77777777" w:rsidR="00D72DEF" w:rsidRDefault="00D72DEF">
      <w:pPr>
        <w:pStyle w:val="BNDES"/>
        <w:widowControl w:val="0"/>
        <w:jc w:val="center"/>
        <w:rPr>
          <w:rFonts w:cs="Arial"/>
          <w:b/>
        </w:rPr>
      </w:pPr>
    </w:p>
    <w:p w14:paraId="3A9190C8" w14:textId="6DCD64DB" w:rsidR="002F3359" w:rsidRPr="002F3359" w:rsidRDefault="002F3359" w:rsidP="000C75B1">
      <w:pPr>
        <w:pStyle w:val="BNDES"/>
        <w:widowControl w:val="0"/>
        <w:jc w:val="center"/>
        <w:rPr>
          <w:rFonts w:cs="Arial"/>
          <w:b/>
        </w:rPr>
      </w:pPr>
      <w:r w:rsidRPr="002F3359">
        <w:rPr>
          <w:rFonts w:cs="Arial"/>
          <w:b/>
        </w:rPr>
        <w:t>Cláusulas e condições que deverão constar nos instrumentos jurídicos que</w:t>
      </w:r>
      <w:r>
        <w:rPr>
          <w:rFonts w:cs="Arial"/>
          <w:b/>
        </w:rPr>
        <w:t xml:space="preserve"> </w:t>
      </w:r>
      <w:r w:rsidRPr="002F3359">
        <w:rPr>
          <w:rFonts w:cs="Arial"/>
          <w:b/>
        </w:rPr>
        <w:t>formalizam a operação de crédito entre as Instituições Financeiras Credenciadas e</w:t>
      </w:r>
    </w:p>
    <w:p w14:paraId="7628FA7F" w14:textId="079C0E3A" w:rsidR="002F3359" w:rsidRDefault="002F3359" w:rsidP="002F3359">
      <w:pPr>
        <w:pStyle w:val="BNDES"/>
        <w:widowControl w:val="0"/>
        <w:jc w:val="center"/>
        <w:rPr>
          <w:rFonts w:cs="Arial"/>
          <w:b/>
        </w:rPr>
      </w:pPr>
      <w:r w:rsidRPr="002F3359">
        <w:rPr>
          <w:rFonts w:cs="Arial"/>
          <w:b/>
        </w:rPr>
        <w:t xml:space="preserve">os Clientes, </w:t>
      </w:r>
      <w:r>
        <w:rPr>
          <w:rFonts w:cs="Arial"/>
          <w:b/>
        </w:rPr>
        <w:t xml:space="preserve">em complemento ao disposto no </w:t>
      </w:r>
      <w:r w:rsidRPr="002F3359">
        <w:rPr>
          <w:rFonts w:cs="Arial"/>
          <w:b/>
        </w:rPr>
        <w:t>Anexo IV à Circular de Orientações Básicas e Procedimentos Operacionais</w:t>
      </w:r>
    </w:p>
    <w:p w14:paraId="409125CA" w14:textId="77777777" w:rsidR="002F3359" w:rsidRPr="009D0B4D" w:rsidRDefault="002F3359" w:rsidP="000C75B1">
      <w:pPr>
        <w:pStyle w:val="BNDES"/>
        <w:widowControl w:val="0"/>
        <w:jc w:val="center"/>
        <w:rPr>
          <w:rFonts w:cs="Arial"/>
          <w:b/>
        </w:rPr>
      </w:pPr>
    </w:p>
    <w:p w14:paraId="5AD976EA" w14:textId="764E8817" w:rsidR="00C83F21" w:rsidRPr="002A6048" w:rsidRDefault="002F3359" w:rsidP="000C75B1">
      <w:pPr>
        <w:pStyle w:val="BNDES"/>
        <w:widowControl w:val="0"/>
        <w:numPr>
          <w:ilvl w:val="0"/>
          <w:numId w:val="39"/>
        </w:numPr>
        <w:spacing w:before="120" w:after="120"/>
        <w:ind w:left="426" w:hanging="426"/>
        <w:rPr>
          <w:b/>
          <w:szCs w:val="24"/>
        </w:rPr>
      </w:pPr>
      <w:r w:rsidRPr="002A6048">
        <w:rPr>
          <w:b/>
          <w:szCs w:val="24"/>
        </w:rPr>
        <w:t>C</w:t>
      </w:r>
      <w:r>
        <w:rPr>
          <w:b/>
          <w:szCs w:val="24"/>
        </w:rPr>
        <w:t>láusula</w:t>
      </w:r>
      <w:r w:rsidR="00FF4611">
        <w:rPr>
          <w:b/>
          <w:szCs w:val="24"/>
        </w:rPr>
        <w:t>s</w:t>
      </w:r>
      <w:r>
        <w:rPr>
          <w:b/>
          <w:szCs w:val="24"/>
        </w:rPr>
        <w:t xml:space="preserve"> específicas que deverão constar nos instrumentos jurídicos que formalizam a operação de crédito </w:t>
      </w:r>
      <w:r w:rsidR="00FF4611">
        <w:rPr>
          <w:b/>
          <w:szCs w:val="24"/>
        </w:rPr>
        <w:t xml:space="preserve">com Custo Financeiro </w:t>
      </w:r>
      <w:r w:rsidR="00CB7E0E">
        <w:rPr>
          <w:b/>
          <w:szCs w:val="24"/>
        </w:rPr>
        <w:t>TR</w:t>
      </w:r>
      <w:r w:rsidR="00FF4611">
        <w:rPr>
          <w:b/>
          <w:szCs w:val="24"/>
        </w:rPr>
        <w:t>:</w:t>
      </w:r>
    </w:p>
    <w:p w14:paraId="63B3E4A5" w14:textId="7B5988A1" w:rsidR="0043514E" w:rsidRPr="002A6048" w:rsidRDefault="00A725BC" w:rsidP="00F83D4F">
      <w:pPr>
        <w:pStyle w:val="BNDES"/>
        <w:widowControl w:val="0"/>
        <w:spacing w:before="120" w:after="120"/>
        <w:rPr>
          <w:rFonts w:cs="Arial"/>
          <w:sz w:val="22"/>
          <w:szCs w:val="22"/>
        </w:rPr>
      </w:pPr>
      <w:r w:rsidRPr="002A6048">
        <w:rPr>
          <w:rFonts w:cs="Arial"/>
          <w:sz w:val="22"/>
          <w:szCs w:val="22"/>
          <w:u w:val="single"/>
        </w:rPr>
        <w:t>VALOR DO CRÉDITO</w:t>
      </w:r>
      <w:r w:rsidRPr="002A6048">
        <w:rPr>
          <w:rFonts w:cs="Arial"/>
          <w:sz w:val="22"/>
          <w:szCs w:val="22"/>
        </w:rPr>
        <w:t xml:space="preserve">: R$ ................... (..............), a ser provido com recursos originários de repasses do Fundo </w:t>
      </w:r>
      <w:r w:rsidR="00A76FA2" w:rsidRPr="002A6048">
        <w:rPr>
          <w:rFonts w:cs="Arial"/>
          <w:sz w:val="22"/>
          <w:szCs w:val="22"/>
        </w:rPr>
        <w:t>de Universalização dos Serviços de</w:t>
      </w:r>
      <w:r w:rsidRPr="002A6048">
        <w:rPr>
          <w:rFonts w:cs="Arial"/>
          <w:sz w:val="22"/>
          <w:szCs w:val="22"/>
        </w:rPr>
        <w:t xml:space="preserve"> Telecomunicações - </w:t>
      </w:r>
      <w:r w:rsidR="00A76FA2" w:rsidRPr="002A6048">
        <w:rPr>
          <w:rFonts w:cs="Arial"/>
          <w:sz w:val="22"/>
          <w:szCs w:val="22"/>
        </w:rPr>
        <w:t>FUST</w:t>
      </w:r>
      <w:r w:rsidRPr="002A6048">
        <w:rPr>
          <w:rFonts w:cs="Arial"/>
          <w:sz w:val="22"/>
          <w:szCs w:val="22"/>
        </w:rPr>
        <w:t>.</w:t>
      </w:r>
    </w:p>
    <w:p w14:paraId="07576E87" w14:textId="77777777" w:rsidR="00DD1E1E" w:rsidRPr="002A6048" w:rsidRDefault="00DD1E1E" w:rsidP="00F83D4F">
      <w:pPr>
        <w:pStyle w:val="BNDES"/>
        <w:widowControl w:val="0"/>
        <w:spacing w:before="120" w:after="120"/>
        <w:rPr>
          <w:rFonts w:cs="Arial"/>
          <w:sz w:val="22"/>
          <w:szCs w:val="22"/>
        </w:rPr>
      </w:pPr>
      <w:r w:rsidRPr="002A6048">
        <w:rPr>
          <w:rFonts w:cs="Arial"/>
          <w:sz w:val="22"/>
          <w:szCs w:val="22"/>
          <w:u w:val="single"/>
        </w:rPr>
        <w:t>JUROS</w:t>
      </w:r>
      <w:r w:rsidRPr="002A6048">
        <w:rPr>
          <w:rFonts w:cs="Arial"/>
          <w:sz w:val="22"/>
          <w:szCs w:val="22"/>
        </w:rPr>
        <w:t xml:space="preserve">: </w:t>
      </w:r>
      <w:r w:rsidR="00B82416" w:rsidRPr="002A6048">
        <w:rPr>
          <w:rFonts w:cs="Arial"/>
          <w:sz w:val="22"/>
          <w:szCs w:val="22"/>
        </w:rPr>
        <w:t>......% (.............. por cento) ao ano (a título de remuneração), acima da Taxa Referencial (TR) 226, divulgada no Sistema Gerenciador de Séries Temporais - SGS do Banco Central do Brasil, ou outra que vier a substituí-la, observada a sistemática prevista a seguir.</w:t>
      </w:r>
    </w:p>
    <w:p w14:paraId="4037E9B0" w14:textId="77777777" w:rsidR="00B82416" w:rsidRPr="002A6048" w:rsidRDefault="00B82416" w:rsidP="00F83D4F">
      <w:pPr>
        <w:pStyle w:val="BNDES"/>
        <w:widowControl w:val="0"/>
        <w:spacing w:before="120" w:after="120"/>
        <w:rPr>
          <w:rFonts w:cs="Arial"/>
          <w:sz w:val="22"/>
          <w:szCs w:val="22"/>
        </w:rPr>
      </w:pPr>
      <w:r w:rsidRPr="002A6048">
        <w:rPr>
          <w:rFonts w:cs="Arial"/>
          <w:sz w:val="22"/>
          <w:szCs w:val="22"/>
        </w:rPr>
        <w:t>A atualização será efetuada através da utilização de uma unidade monetária baseada na Taxa Referencial - TR 226, com cotação diária.</w:t>
      </w:r>
    </w:p>
    <w:p w14:paraId="3C0CEB11" w14:textId="77777777" w:rsidR="00B82416" w:rsidRPr="002A6048" w:rsidRDefault="00B82416" w:rsidP="00F83D4F">
      <w:pPr>
        <w:tabs>
          <w:tab w:val="left" w:pos="1701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2A6048">
        <w:rPr>
          <w:rFonts w:ascii="Arial" w:hAnsi="Arial" w:cs="Arial"/>
          <w:color w:val="000000"/>
          <w:sz w:val="22"/>
          <w:szCs w:val="22"/>
        </w:rPr>
        <w:t xml:space="preserve">A cotação da moeda de um determinado dia será obtida por meio da multiplicação da cotação do dia anterior pelo seguinte fator: </w:t>
      </w:r>
    </w:p>
    <w:p w14:paraId="56A2B4C1" w14:textId="77777777" w:rsidR="00B82416" w:rsidRPr="002A6048" w:rsidRDefault="00B82416" w:rsidP="00B82416">
      <w:pPr>
        <w:rPr>
          <w:rFonts w:ascii="Arial" w:hAnsi="Arial" w:cs="Arial"/>
          <w:color w:val="000000"/>
          <w:sz w:val="22"/>
          <w:szCs w:val="22"/>
        </w:rPr>
      </w:pPr>
    </w:p>
    <w:p w14:paraId="752DA777" w14:textId="13DB52A2" w:rsidR="005A77B6" w:rsidRPr="00815063" w:rsidRDefault="000702DD" w:rsidP="005A77B6">
      <w:pPr>
        <w:jc w:val="center"/>
        <w:rPr>
          <w:rFonts w:ascii="Arial" w:hAnsi="Arial" w:cs="Arial"/>
          <w:color w:val="000000"/>
          <w:sz w:val="22"/>
          <w:szCs w:val="22"/>
        </w:rPr>
      </w:pPr>
      <m:oMathPara>
        <m:oMath>
          <m:sSup>
            <m:sSupPr>
              <m:ctrlPr>
                <w:rPr>
                  <w:rFonts w:ascii="Cambria Math" w:hAnsi="Cambria Math" w:cs="Arial"/>
                  <w:bCs/>
                  <w:i/>
                  <w:color w:val="000000"/>
                  <w:szCs w:val="22"/>
                </w:rPr>
              </m:ctrlPr>
            </m:sSupPr>
            <m:e>
              <m:r>
                <w:rPr>
                  <w:rFonts w:ascii="Cambria Math" w:hAnsi="Cambria Math" w:cs="Arial"/>
                  <w:color w:val="000000"/>
                  <w:szCs w:val="22"/>
                </w:rPr>
                <m:t xml:space="preserve">Fator= </m:t>
              </m:r>
              <m:d>
                <m:dPr>
                  <m:ctrlPr>
                    <w:rPr>
                      <w:rFonts w:ascii="Cambria Math" w:hAnsi="Cambria Math" w:cs="Arial"/>
                      <w:bCs/>
                      <w:i/>
                      <w:color w:val="000000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color w:val="000000"/>
                      <w:szCs w:val="22"/>
                    </w:rPr>
                    <m:t>1+</m:t>
                  </m:r>
                  <m:d>
                    <m:dPr>
                      <m:ctrlPr>
                        <w:rPr>
                          <w:rFonts w:ascii="Cambria Math" w:hAnsi="Cambria Math" w:cs="Arial"/>
                          <w:bCs/>
                          <w:i/>
                          <w:color w:val="000000"/>
                          <w:szCs w:val="22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Arial"/>
                              <w:bCs/>
                              <w:i/>
                              <w:color w:val="000000"/>
                              <w:szCs w:val="22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Arial"/>
                                  <w:bCs/>
                                  <w:i/>
                                  <w:color w:val="000000"/>
                                  <w:szCs w:val="22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  <w:color w:val="000000"/>
                                  <w:szCs w:val="22"/>
                                </w:rPr>
                                <m:t>TR226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  <w:color w:val="000000"/>
                                  <w:szCs w:val="22"/>
                                </w:rPr>
                                <m:t>m-1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 w:cs="Arial"/>
                              <w:color w:val="000000"/>
                              <w:szCs w:val="22"/>
                            </w:rPr>
                            <m:t>100</m:t>
                          </m:r>
                        </m:den>
                      </m:f>
                    </m:e>
                  </m:d>
                </m:e>
              </m:d>
            </m:e>
            <m:sup>
              <m:d>
                <m:dPr>
                  <m:ctrlPr>
                    <w:rPr>
                      <w:rFonts w:ascii="Cambria Math" w:hAnsi="Cambria Math" w:cs="Arial"/>
                      <w:bCs/>
                      <w:i/>
                      <w:color w:val="000000"/>
                      <w:szCs w:val="22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bCs/>
                          <w:i/>
                          <w:color w:val="000000"/>
                          <w:szCs w:val="22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color w:val="000000"/>
                          <w:szCs w:val="22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Arial"/>
                              <w:bCs/>
                              <w:i/>
                              <w:color w:val="000000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color w:val="000000"/>
                              <w:szCs w:val="22"/>
                            </w:rPr>
                            <m:t>Dias corridos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  <w:color w:val="000000"/>
                              <w:szCs w:val="22"/>
                            </w:rPr>
                            <m:t>m</m:t>
                          </m:r>
                        </m:sub>
                      </m:sSub>
                    </m:den>
                  </m:f>
                </m:e>
              </m:d>
            </m:sup>
          </m:sSup>
        </m:oMath>
      </m:oMathPara>
    </w:p>
    <w:p w14:paraId="1F616EBE" w14:textId="77777777" w:rsidR="00B82416" w:rsidRPr="002A6048" w:rsidRDefault="00B82416" w:rsidP="00B82416">
      <w:pPr>
        <w:rPr>
          <w:rFonts w:ascii="Arial" w:hAnsi="Arial" w:cs="Arial"/>
          <w:color w:val="000000"/>
          <w:sz w:val="22"/>
          <w:szCs w:val="22"/>
        </w:rPr>
      </w:pPr>
    </w:p>
    <w:p w14:paraId="3CA533E4" w14:textId="77777777" w:rsidR="00B82416" w:rsidRPr="002A6048" w:rsidRDefault="00B82416" w:rsidP="00F83D4F">
      <w:pPr>
        <w:spacing w:before="120" w:after="120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2A6048">
        <w:rPr>
          <w:rFonts w:ascii="Arial" w:hAnsi="Arial" w:cs="Arial"/>
          <w:color w:val="000000"/>
          <w:sz w:val="22"/>
          <w:szCs w:val="22"/>
        </w:rPr>
        <w:t>Sendo:</w:t>
      </w:r>
    </w:p>
    <w:p w14:paraId="28C49329" w14:textId="77777777" w:rsidR="00B82416" w:rsidRPr="002A6048" w:rsidRDefault="00B82416" w:rsidP="00F83D4F">
      <w:pPr>
        <w:spacing w:before="120" w:after="120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2A6048">
        <w:rPr>
          <w:rFonts w:ascii="Cambria Math" w:hAnsi="Cambria Math" w:cs="Cambria Math"/>
          <w:i/>
          <w:color w:val="000000"/>
          <w:sz w:val="22"/>
          <w:szCs w:val="22"/>
        </w:rPr>
        <w:t>〖</w:t>
      </w:r>
      <w:r w:rsidRPr="002A6048">
        <w:rPr>
          <w:rFonts w:ascii="Arial" w:hAnsi="Arial" w:cs="Arial"/>
          <w:i/>
          <w:color w:val="000000"/>
          <w:sz w:val="22"/>
          <w:szCs w:val="22"/>
        </w:rPr>
        <w:t>TR226</w:t>
      </w:r>
      <w:r w:rsidRPr="002A6048">
        <w:rPr>
          <w:rFonts w:ascii="Cambria Math" w:hAnsi="Cambria Math" w:cs="Cambria Math"/>
          <w:i/>
          <w:color w:val="000000"/>
          <w:sz w:val="22"/>
          <w:szCs w:val="22"/>
        </w:rPr>
        <w:t>〗</w:t>
      </w:r>
      <w:r w:rsidRPr="002A6048">
        <w:rPr>
          <w:rFonts w:ascii="Arial" w:hAnsi="Arial" w:cs="Arial"/>
          <w:color w:val="000000"/>
          <w:sz w:val="22"/>
          <w:szCs w:val="22"/>
          <w:vertAlign w:val="subscript"/>
        </w:rPr>
        <w:t>(m-1)</w:t>
      </w:r>
      <w:r w:rsidRPr="002A6048">
        <w:rPr>
          <w:rFonts w:ascii="Arial" w:hAnsi="Arial" w:cs="Arial"/>
          <w:color w:val="000000"/>
          <w:sz w:val="22"/>
          <w:szCs w:val="22"/>
        </w:rPr>
        <w:t>: cotação da TR 226 do primeiro dia do mês anterior até o primeiro dia do mês vigente;</w:t>
      </w:r>
    </w:p>
    <w:p w14:paraId="184E63DD" w14:textId="77777777" w:rsidR="00B82416" w:rsidRPr="002A6048" w:rsidRDefault="00B82416" w:rsidP="00F83D4F">
      <w:pPr>
        <w:spacing w:before="120" w:after="120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2A6048">
        <w:rPr>
          <w:rFonts w:ascii="Cambria Math" w:hAnsi="Cambria Math" w:cs="Cambria Math"/>
          <w:i/>
          <w:color w:val="000000"/>
          <w:sz w:val="22"/>
          <w:szCs w:val="22"/>
        </w:rPr>
        <w:t>〖</w:t>
      </w:r>
      <w:r w:rsidRPr="002A6048">
        <w:rPr>
          <w:rFonts w:ascii="Arial" w:hAnsi="Arial" w:cs="Arial"/>
          <w:i/>
          <w:color w:val="000000"/>
          <w:sz w:val="22"/>
          <w:szCs w:val="22"/>
        </w:rPr>
        <w:t>Dias corridos</w:t>
      </w:r>
      <w:r w:rsidRPr="002A6048">
        <w:rPr>
          <w:rFonts w:ascii="Cambria Math" w:hAnsi="Cambria Math" w:cs="Cambria Math"/>
          <w:i/>
          <w:color w:val="000000"/>
          <w:sz w:val="22"/>
          <w:szCs w:val="22"/>
        </w:rPr>
        <w:t>〗</w:t>
      </w:r>
      <w:r w:rsidRPr="002A6048">
        <w:rPr>
          <w:rFonts w:ascii="Arial" w:hAnsi="Arial" w:cs="Arial"/>
          <w:color w:val="000000"/>
          <w:sz w:val="22"/>
          <w:szCs w:val="22"/>
          <w:vertAlign w:val="subscript"/>
        </w:rPr>
        <w:t>m</w:t>
      </w:r>
      <w:r w:rsidRPr="002A6048">
        <w:rPr>
          <w:rFonts w:ascii="Arial" w:hAnsi="Arial" w:cs="Arial"/>
          <w:color w:val="000000"/>
          <w:sz w:val="22"/>
          <w:szCs w:val="22"/>
        </w:rPr>
        <w:t>: quantidade de dias do mês vigente, ou seja, a diferença entre o primeiro dia do mês subsequente e o primeiro dia do mês vigente.</w:t>
      </w:r>
    </w:p>
    <w:p w14:paraId="1259D234" w14:textId="77777777" w:rsidR="00B82416" w:rsidRPr="002A6048" w:rsidRDefault="00B82416" w:rsidP="00F83D4F">
      <w:pPr>
        <w:pStyle w:val="BNDES"/>
        <w:widowControl w:val="0"/>
        <w:spacing w:before="120" w:after="120"/>
        <w:rPr>
          <w:rFonts w:cs="Arial"/>
          <w:color w:val="000000"/>
          <w:sz w:val="22"/>
          <w:szCs w:val="22"/>
        </w:rPr>
      </w:pPr>
      <w:r w:rsidRPr="002A6048">
        <w:rPr>
          <w:rFonts w:cs="Arial"/>
          <w:color w:val="000000"/>
          <w:sz w:val="22"/>
          <w:szCs w:val="22"/>
        </w:rPr>
        <w:t>O fator será aplicado sobre a cotação do dia primeiro do mês vigente e gerará cotações de moeda até o dia primeiro do mês subsequente.</w:t>
      </w:r>
    </w:p>
    <w:p w14:paraId="1AE1E238" w14:textId="77777777" w:rsidR="00B82416" w:rsidRPr="002A6048" w:rsidRDefault="00B82416" w:rsidP="00F83D4F">
      <w:pPr>
        <w:pStyle w:val="BNDES"/>
        <w:widowControl w:val="0"/>
        <w:spacing w:before="120" w:after="120"/>
        <w:rPr>
          <w:rFonts w:cs="Arial"/>
          <w:color w:val="000000"/>
          <w:sz w:val="22"/>
          <w:szCs w:val="22"/>
        </w:rPr>
      </w:pPr>
      <w:r w:rsidRPr="002A6048">
        <w:rPr>
          <w:rFonts w:cs="Arial"/>
          <w:color w:val="000000"/>
          <w:sz w:val="22"/>
          <w:szCs w:val="22"/>
        </w:rPr>
        <w:t>A atualização referida nesta cláusula será incorporada ao principal da dívida nos termos da Cláusula de Amortização.</w:t>
      </w:r>
    </w:p>
    <w:p w14:paraId="66B04333" w14:textId="77777777" w:rsidR="00B82416" w:rsidRPr="002A6048" w:rsidRDefault="00B82416" w:rsidP="00F83D4F">
      <w:pPr>
        <w:pStyle w:val="BNDES"/>
        <w:spacing w:before="120" w:after="120"/>
        <w:rPr>
          <w:rFonts w:cs="Arial"/>
          <w:color w:val="000000"/>
          <w:sz w:val="22"/>
          <w:szCs w:val="22"/>
        </w:rPr>
      </w:pPr>
      <w:r w:rsidRPr="002A6048">
        <w:rPr>
          <w:rFonts w:cs="Arial"/>
          <w:color w:val="000000"/>
          <w:sz w:val="22"/>
          <w:szCs w:val="22"/>
        </w:rPr>
        <w:t xml:space="preserve">O percentual de ...% (...... por cento) ao ano acima da TR (remuneração), referido </w:t>
      </w:r>
      <w:r w:rsidR="005F3CCC" w:rsidRPr="002A6048">
        <w:rPr>
          <w:rFonts w:cs="Arial"/>
          <w:color w:val="000000"/>
          <w:sz w:val="22"/>
          <w:szCs w:val="22"/>
        </w:rPr>
        <w:t>n</w:t>
      </w:r>
      <w:r w:rsidRPr="002A6048">
        <w:rPr>
          <w:rFonts w:cs="Arial"/>
          <w:color w:val="000000"/>
          <w:sz w:val="22"/>
          <w:szCs w:val="22"/>
        </w:rPr>
        <w:t>esta Cláusula</w:t>
      </w:r>
      <w:r w:rsidR="00177C30" w:rsidRPr="002A6048">
        <w:rPr>
          <w:rFonts w:cs="Arial"/>
          <w:color w:val="000000"/>
          <w:sz w:val="22"/>
          <w:szCs w:val="22"/>
        </w:rPr>
        <w:t xml:space="preserve"> (J</w:t>
      </w:r>
      <w:r w:rsidR="004504E3" w:rsidRPr="002A6048">
        <w:rPr>
          <w:rFonts w:cs="Arial"/>
          <w:color w:val="000000"/>
          <w:sz w:val="22"/>
          <w:szCs w:val="22"/>
        </w:rPr>
        <w:t>uros</w:t>
      </w:r>
      <w:r w:rsidR="00177C30" w:rsidRPr="002A6048">
        <w:rPr>
          <w:rFonts w:cs="Arial"/>
          <w:color w:val="000000"/>
          <w:sz w:val="22"/>
          <w:szCs w:val="22"/>
        </w:rPr>
        <w:t>)</w:t>
      </w:r>
      <w:r w:rsidRPr="002A6048">
        <w:rPr>
          <w:rFonts w:cs="Arial"/>
          <w:color w:val="000000"/>
          <w:sz w:val="22"/>
          <w:szCs w:val="22"/>
        </w:rPr>
        <w:t xml:space="preserve">, acrescido da própria TR, incidirá sobre o saldo devedor, nas datas de exigibilidade dos juros mencionadas </w:t>
      </w:r>
      <w:r w:rsidR="00000A0B" w:rsidRPr="002A6048">
        <w:rPr>
          <w:rFonts w:cs="Arial"/>
          <w:color w:val="000000"/>
          <w:sz w:val="22"/>
          <w:szCs w:val="22"/>
        </w:rPr>
        <w:t>abaixo</w:t>
      </w:r>
      <w:r w:rsidRPr="002A6048">
        <w:rPr>
          <w:rFonts w:cs="Arial"/>
          <w:color w:val="000000"/>
          <w:sz w:val="22"/>
          <w:szCs w:val="22"/>
        </w:rPr>
        <w:t xml:space="preserve"> ou na data de vencimento ou liquidação deste Contrato, sendo considerado, para o cálculo diário de juros, o número de dias decorridos entre a data de cada evento financeiro e as datas de exigibilidade acima citadas.</w:t>
      </w:r>
    </w:p>
    <w:p w14:paraId="206AA997" w14:textId="1116AEF2" w:rsidR="00245003" w:rsidRDefault="00773ACE" w:rsidP="003826F8">
      <w:pPr>
        <w:pStyle w:val="BNDES"/>
        <w:spacing w:before="120" w:after="120"/>
        <w:rPr>
          <w:rFonts w:cs="Arial"/>
          <w:color w:val="000000"/>
          <w:sz w:val="22"/>
          <w:szCs w:val="22"/>
        </w:rPr>
      </w:pPr>
      <w:r w:rsidRPr="003826F8">
        <w:rPr>
          <w:rFonts w:cs="Arial"/>
          <w:color w:val="000000"/>
          <w:sz w:val="22"/>
          <w:szCs w:val="22"/>
        </w:rPr>
        <w:t xml:space="preserve">O montante apurado, nos termos da Cláusula de Juros, será exigível ................ [trimestral/semestral/anualmente], durante o prazo de carência, e ................ [mensal/semestral/anualmente], durante o período de amortização, juntamente com as parcelas de amortização do principal e no vencimento ou liquidação do Contrato, observado o disposto no item </w:t>
      </w:r>
      <w:r w:rsidR="002A6048" w:rsidRPr="003826F8">
        <w:rPr>
          <w:rFonts w:cs="Arial"/>
          <w:color w:val="000000"/>
          <w:sz w:val="22"/>
          <w:szCs w:val="22"/>
        </w:rPr>
        <w:t>5</w:t>
      </w:r>
      <w:r w:rsidRPr="003826F8">
        <w:rPr>
          <w:rFonts w:cs="Arial"/>
          <w:color w:val="000000"/>
          <w:sz w:val="22"/>
          <w:szCs w:val="22"/>
        </w:rPr>
        <w:t xml:space="preserve">.2 </w:t>
      </w:r>
      <w:r w:rsidR="002A6048" w:rsidRPr="003826F8">
        <w:rPr>
          <w:rFonts w:cs="Arial"/>
          <w:color w:val="000000"/>
          <w:sz w:val="22"/>
          <w:szCs w:val="22"/>
        </w:rPr>
        <w:t xml:space="preserve">do Anexo I à </w:t>
      </w:r>
      <w:r w:rsidRPr="003826F8">
        <w:rPr>
          <w:rFonts w:cs="Arial"/>
          <w:color w:val="000000"/>
          <w:sz w:val="22"/>
          <w:szCs w:val="22"/>
        </w:rPr>
        <w:t>Circular</w:t>
      </w:r>
      <w:r w:rsidR="00000A0B" w:rsidRPr="003826F8">
        <w:rPr>
          <w:rFonts w:cs="Arial"/>
          <w:color w:val="000000"/>
          <w:sz w:val="22"/>
          <w:szCs w:val="22"/>
        </w:rPr>
        <w:t xml:space="preserve"> SUP/A</w:t>
      </w:r>
      <w:r w:rsidR="002A6048" w:rsidRPr="003826F8">
        <w:rPr>
          <w:rFonts w:cs="Arial"/>
          <w:color w:val="000000"/>
          <w:sz w:val="22"/>
          <w:szCs w:val="22"/>
        </w:rPr>
        <w:t>DIG</w:t>
      </w:r>
      <w:r w:rsidR="00000A0B" w:rsidRPr="003826F8">
        <w:rPr>
          <w:rFonts w:cs="Arial"/>
          <w:color w:val="000000"/>
          <w:sz w:val="22"/>
          <w:szCs w:val="22"/>
        </w:rPr>
        <w:t xml:space="preserve"> nº </w:t>
      </w:r>
      <w:r w:rsidR="002A6048" w:rsidRPr="003826F8">
        <w:rPr>
          <w:rFonts w:cs="Arial"/>
          <w:color w:val="000000"/>
          <w:sz w:val="22"/>
          <w:szCs w:val="22"/>
        </w:rPr>
        <w:t>13</w:t>
      </w:r>
      <w:r w:rsidR="00000A0B" w:rsidRPr="003826F8">
        <w:rPr>
          <w:rFonts w:cs="Arial"/>
          <w:color w:val="000000"/>
          <w:sz w:val="22"/>
          <w:szCs w:val="22"/>
        </w:rPr>
        <w:t>/20</w:t>
      </w:r>
      <w:r w:rsidR="002A6048" w:rsidRPr="003826F8">
        <w:rPr>
          <w:rFonts w:cs="Arial"/>
          <w:color w:val="000000"/>
          <w:sz w:val="22"/>
          <w:szCs w:val="22"/>
        </w:rPr>
        <w:t>22</w:t>
      </w:r>
      <w:r w:rsidR="00000A0B" w:rsidRPr="003826F8">
        <w:rPr>
          <w:rFonts w:cs="Arial"/>
          <w:color w:val="000000"/>
          <w:sz w:val="22"/>
          <w:szCs w:val="22"/>
        </w:rPr>
        <w:t xml:space="preserve">-BNDES, de </w:t>
      </w:r>
      <w:r w:rsidR="002A6048" w:rsidRPr="003826F8">
        <w:rPr>
          <w:rFonts w:cs="Arial"/>
          <w:color w:val="000000"/>
          <w:sz w:val="22"/>
          <w:szCs w:val="22"/>
        </w:rPr>
        <w:t>26</w:t>
      </w:r>
      <w:r w:rsidR="00000A0B" w:rsidRPr="003826F8">
        <w:rPr>
          <w:rFonts w:cs="Arial"/>
          <w:color w:val="000000"/>
          <w:sz w:val="22"/>
          <w:szCs w:val="22"/>
        </w:rPr>
        <w:t>.0</w:t>
      </w:r>
      <w:r w:rsidR="002A6048" w:rsidRPr="003826F8">
        <w:rPr>
          <w:rFonts w:cs="Arial"/>
          <w:color w:val="000000"/>
          <w:sz w:val="22"/>
          <w:szCs w:val="22"/>
        </w:rPr>
        <w:t>5</w:t>
      </w:r>
      <w:r w:rsidR="00000A0B" w:rsidRPr="003826F8">
        <w:rPr>
          <w:rFonts w:cs="Arial"/>
          <w:color w:val="000000"/>
          <w:sz w:val="22"/>
          <w:szCs w:val="22"/>
        </w:rPr>
        <w:t>.20</w:t>
      </w:r>
      <w:r w:rsidR="002A6048" w:rsidRPr="003826F8">
        <w:rPr>
          <w:rFonts w:cs="Arial"/>
          <w:color w:val="000000"/>
          <w:sz w:val="22"/>
          <w:szCs w:val="22"/>
        </w:rPr>
        <w:t>22</w:t>
      </w:r>
      <w:r w:rsidR="00000A0B" w:rsidRPr="003826F8">
        <w:rPr>
          <w:rFonts w:cs="Arial"/>
          <w:color w:val="000000"/>
          <w:sz w:val="22"/>
          <w:szCs w:val="22"/>
        </w:rPr>
        <w:t xml:space="preserve"> </w:t>
      </w:r>
      <w:r w:rsidRPr="003826F8">
        <w:rPr>
          <w:rFonts w:cs="Arial"/>
          <w:color w:val="000000"/>
          <w:sz w:val="22"/>
          <w:szCs w:val="22"/>
        </w:rPr>
        <w:t>(</w:t>
      </w:r>
      <w:r w:rsidR="003826F8">
        <w:rPr>
          <w:rFonts w:cs="Arial"/>
          <w:color w:val="000000"/>
          <w:sz w:val="22"/>
          <w:szCs w:val="22"/>
        </w:rPr>
        <w:t>v</w:t>
      </w:r>
      <w:r w:rsidRPr="003826F8">
        <w:rPr>
          <w:rFonts w:cs="Arial"/>
          <w:color w:val="000000"/>
          <w:sz w:val="22"/>
          <w:szCs w:val="22"/>
        </w:rPr>
        <w:t>encimento em dias feriados).</w:t>
      </w:r>
    </w:p>
    <w:p w14:paraId="146F6ACE" w14:textId="35694519" w:rsidR="00245003" w:rsidRDefault="00245003" w:rsidP="000C75B1">
      <w:pPr>
        <w:pStyle w:val="BNDES"/>
        <w:keepLines/>
        <w:widowControl w:val="0"/>
        <w:spacing w:before="120"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u w:val="single"/>
        </w:rPr>
        <w:lastRenderedPageBreak/>
        <w:t>ALTERAÇÃO DO CRITÉRIO LEGAL DE ATUALIZAÇÃO DOS RECURSOS ORIGINÁRIOS DO FUST</w:t>
      </w:r>
      <w:r>
        <w:rPr>
          <w:rFonts w:cs="Arial"/>
          <w:sz w:val="22"/>
          <w:szCs w:val="22"/>
        </w:rPr>
        <w:t>: Na hipótese de vir a ser substituído o critério legal de atualização dos recursos originários do FUST, repassados ao BNDES/FINAME, a</w:t>
      </w:r>
      <w:r w:rsidR="0079572F">
        <w:rPr>
          <w:rFonts w:cs="Arial"/>
          <w:sz w:val="22"/>
          <w:szCs w:val="22"/>
        </w:rPr>
        <w:t xml:space="preserve"> aludida</w:t>
      </w:r>
      <w:r>
        <w:rPr>
          <w:rFonts w:cs="Arial"/>
          <w:sz w:val="22"/>
          <w:szCs w:val="22"/>
        </w:rPr>
        <w:t xml:space="preserve"> atualização poderá, a critério do BNDES/FINAME, passar a ser efetuada mediante utilização d</w:t>
      </w:r>
      <w:r w:rsidR="0079572F">
        <w:rPr>
          <w:rFonts w:cs="Arial"/>
          <w:sz w:val="22"/>
          <w:szCs w:val="22"/>
        </w:rPr>
        <w:t>e</w:t>
      </w:r>
      <w:r>
        <w:rPr>
          <w:rFonts w:cs="Arial"/>
          <w:sz w:val="22"/>
          <w:szCs w:val="22"/>
        </w:rPr>
        <w:t xml:space="preserve"> novo critério, estabelecido pela autoridade competente para atualização dos referidos recursos. Nesse caso, o BNDES/FINAME comunicará a alteração às INSTITUIÇÕES FINANCEIRAS CREDENCIADAS.</w:t>
      </w:r>
    </w:p>
    <w:p w14:paraId="11611990" w14:textId="0540A3DF" w:rsidR="00245003" w:rsidRDefault="00245003" w:rsidP="00245003">
      <w:pPr>
        <w:keepNext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OBRIGAÇÕES ESPECIAIS DA BENEFICIÁRIA FINAL</w:t>
      </w:r>
      <w:r>
        <w:rPr>
          <w:rFonts w:ascii="Arial" w:hAnsi="Arial" w:cs="Arial"/>
          <w:sz w:val="22"/>
          <w:szCs w:val="22"/>
        </w:rPr>
        <w:t xml:space="preserve">: Obriga-se a </w:t>
      </w:r>
      <w:r w:rsidR="003C03FF">
        <w:rPr>
          <w:rFonts w:ascii="Arial" w:hAnsi="Arial" w:cs="Arial"/>
          <w:sz w:val="22"/>
          <w:szCs w:val="22"/>
        </w:rPr>
        <w:t>CLIENTE</w:t>
      </w:r>
      <w:r w:rsidR="0050604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FINAL a:</w:t>
      </w:r>
    </w:p>
    <w:p w14:paraId="551E60AF" w14:textId="1BDB654D" w:rsidR="00245003" w:rsidRDefault="00245003" w:rsidP="00245003">
      <w:pPr>
        <w:pStyle w:val="BNDES"/>
        <w:widowControl w:val="0"/>
        <w:tabs>
          <w:tab w:val="left" w:pos="284"/>
        </w:tabs>
        <w:spacing w:before="120" w:after="120"/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I.</w:t>
      </w:r>
      <w:r>
        <w:rPr>
          <w:rFonts w:cs="Arial"/>
          <w:sz w:val="22"/>
          <w:szCs w:val="22"/>
        </w:rPr>
        <w:tab/>
        <w:t xml:space="preserve">fornecer as informações solicitadas pelo Conselho Gestor do FUST, sob pena de suspensão de liberações de crédito das parcelas vincendas, ou de novas contratações com recursos do </w:t>
      </w:r>
      <w:r w:rsidR="00C14305">
        <w:rPr>
          <w:rFonts w:cs="Arial"/>
          <w:sz w:val="22"/>
          <w:szCs w:val="22"/>
        </w:rPr>
        <w:t>F</w:t>
      </w:r>
      <w:r w:rsidR="0079572F">
        <w:rPr>
          <w:rFonts w:cs="Arial"/>
          <w:sz w:val="22"/>
          <w:szCs w:val="22"/>
        </w:rPr>
        <w:t>UST</w:t>
      </w:r>
      <w:r>
        <w:rPr>
          <w:rFonts w:cs="Arial"/>
          <w:sz w:val="22"/>
          <w:szCs w:val="22"/>
        </w:rPr>
        <w:t>;</w:t>
      </w:r>
    </w:p>
    <w:p w14:paraId="096FFC55" w14:textId="4AC9F2CB" w:rsidR="00245003" w:rsidRDefault="00245003" w:rsidP="00245003">
      <w:pPr>
        <w:pStyle w:val="BNDES"/>
        <w:widowControl w:val="0"/>
        <w:tabs>
          <w:tab w:val="left" w:pos="284"/>
        </w:tabs>
        <w:spacing w:before="120" w:after="120"/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II.</w:t>
      </w:r>
      <w:r>
        <w:rPr>
          <w:rFonts w:cs="Arial"/>
          <w:sz w:val="22"/>
          <w:szCs w:val="22"/>
        </w:rPr>
        <w:tab/>
        <w:t>mencionar, sempre com destaque, em qualquer divulgação relacionada ao bem financiado, a colaboração do FUST, mediante a utilização da logomarca des</w:t>
      </w:r>
      <w:r w:rsidR="0079572F">
        <w:rPr>
          <w:rFonts w:cs="Arial"/>
          <w:sz w:val="22"/>
          <w:szCs w:val="22"/>
        </w:rPr>
        <w:t>s</w:t>
      </w:r>
      <w:r>
        <w:rPr>
          <w:rFonts w:cs="Arial"/>
          <w:sz w:val="22"/>
          <w:szCs w:val="22"/>
        </w:rPr>
        <w:t>e Fundo;</w:t>
      </w:r>
    </w:p>
    <w:p w14:paraId="28300BCB" w14:textId="462CA9D3" w:rsidR="00245003" w:rsidRDefault="00245003" w:rsidP="00245003">
      <w:pPr>
        <w:pStyle w:val="BNDES"/>
        <w:widowControl w:val="0"/>
        <w:tabs>
          <w:tab w:val="left" w:pos="284"/>
        </w:tabs>
        <w:spacing w:before="120" w:after="120"/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III.</w:t>
      </w:r>
      <w:r>
        <w:rPr>
          <w:rFonts w:cs="Arial"/>
          <w:sz w:val="22"/>
          <w:szCs w:val="22"/>
        </w:rPr>
        <w:tab/>
      </w:r>
      <w:r w:rsidR="0079572F">
        <w:rPr>
          <w:rFonts w:cs="Arial"/>
          <w:sz w:val="22"/>
          <w:szCs w:val="22"/>
        </w:rPr>
        <w:t>O Cliente</w:t>
      </w:r>
      <w:r>
        <w:rPr>
          <w:rFonts w:cs="Arial"/>
          <w:sz w:val="22"/>
          <w:szCs w:val="22"/>
        </w:rPr>
        <w:t xml:space="preserve"> Final declara que tem ciência de que informações decorrentes do contrato poderão ser encaminhadas ao Conselho Gestor do FUST</w:t>
      </w:r>
      <w:r w:rsidR="006B5E78">
        <w:rPr>
          <w:rFonts w:cs="Arial"/>
          <w:sz w:val="22"/>
          <w:szCs w:val="22"/>
        </w:rPr>
        <w:t xml:space="preserve"> ou a órgãos de controle</w:t>
      </w:r>
      <w:r>
        <w:rPr>
          <w:rFonts w:cs="Arial"/>
          <w:sz w:val="22"/>
          <w:szCs w:val="22"/>
        </w:rPr>
        <w:t>,</w:t>
      </w:r>
      <w:r w:rsidR="006B5E78">
        <w:rPr>
          <w:rFonts w:cs="Arial"/>
          <w:sz w:val="22"/>
          <w:szCs w:val="22"/>
        </w:rPr>
        <w:t xml:space="preserve"> tais como</w:t>
      </w:r>
      <w:r>
        <w:rPr>
          <w:rFonts w:cs="Arial"/>
          <w:sz w:val="22"/>
          <w:szCs w:val="22"/>
        </w:rPr>
        <w:t xml:space="preserve"> Tribunal de Contas da União (TCU), Controladoria-Geral da União (CGU)</w:t>
      </w:r>
      <w:r w:rsidR="006B5E78">
        <w:rPr>
          <w:rFonts w:cs="Arial"/>
          <w:sz w:val="22"/>
          <w:szCs w:val="22"/>
        </w:rPr>
        <w:t xml:space="preserve"> e</w:t>
      </w:r>
      <w:r>
        <w:rPr>
          <w:rFonts w:cs="Arial"/>
          <w:sz w:val="22"/>
          <w:szCs w:val="22"/>
        </w:rPr>
        <w:t xml:space="preserve"> Ministério Público Federal (MPF), com a transferência do dever de sigilo.</w:t>
      </w:r>
    </w:p>
    <w:p w14:paraId="49374063" w14:textId="77777777" w:rsidR="00D72DEF" w:rsidRDefault="00D72DEF">
      <w:pPr>
        <w:rPr>
          <w:rFonts w:ascii="Arial" w:hAnsi="Arial"/>
          <w:b/>
        </w:rPr>
      </w:pPr>
      <w:r>
        <w:rPr>
          <w:b/>
        </w:rPr>
        <w:br w:type="page"/>
      </w:r>
    </w:p>
    <w:p w14:paraId="423D82A6" w14:textId="3FAD1BCB" w:rsidR="00FF4611" w:rsidRDefault="00FF4611" w:rsidP="000C75B1">
      <w:pPr>
        <w:pStyle w:val="BNDES"/>
        <w:widowControl w:val="0"/>
        <w:numPr>
          <w:ilvl w:val="0"/>
          <w:numId w:val="39"/>
        </w:numPr>
        <w:spacing w:before="120" w:after="120"/>
        <w:ind w:left="426" w:hanging="426"/>
        <w:rPr>
          <w:b/>
          <w:szCs w:val="24"/>
        </w:rPr>
      </w:pPr>
      <w:r w:rsidRPr="002A6048">
        <w:rPr>
          <w:b/>
          <w:szCs w:val="24"/>
        </w:rPr>
        <w:lastRenderedPageBreak/>
        <w:t>C</w:t>
      </w:r>
      <w:r>
        <w:rPr>
          <w:b/>
          <w:szCs w:val="24"/>
        </w:rPr>
        <w:t xml:space="preserve">láusulas específicas que deverão constar nos instrumentos jurídicos que formalizam a operação de crédito com Custo Financeiro </w:t>
      </w:r>
      <w:r w:rsidR="00245003">
        <w:rPr>
          <w:b/>
          <w:szCs w:val="24"/>
        </w:rPr>
        <w:t>TFBTR</w:t>
      </w:r>
      <w:r w:rsidR="00D72DEF">
        <w:rPr>
          <w:b/>
          <w:szCs w:val="24"/>
        </w:rPr>
        <w:t>:</w:t>
      </w:r>
    </w:p>
    <w:p w14:paraId="5919959F" w14:textId="10DC568F" w:rsidR="00245003" w:rsidRDefault="00245003" w:rsidP="00245003">
      <w:pPr>
        <w:pStyle w:val="BNDES"/>
        <w:widowControl w:val="0"/>
        <w:spacing w:before="120"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u w:val="single"/>
        </w:rPr>
        <w:t>ALTERAÇÃO DO CRITÉRIO LEGAL DE ATUALIZAÇÃO DOS RECURSOS ORIGINÁRIOS DO FUST</w:t>
      </w:r>
      <w:r>
        <w:rPr>
          <w:rFonts w:cs="Arial"/>
          <w:sz w:val="22"/>
          <w:szCs w:val="22"/>
        </w:rPr>
        <w:t>: Na hipótese de vir a ser substituído o critério legal de atualização dos recursos originários do FUST, repassados ao BNDES/FINAME, a</w:t>
      </w:r>
      <w:r w:rsidR="0079572F">
        <w:rPr>
          <w:rFonts w:cs="Arial"/>
          <w:sz w:val="22"/>
          <w:szCs w:val="22"/>
        </w:rPr>
        <w:t xml:space="preserve"> aludida</w:t>
      </w:r>
      <w:r>
        <w:rPr>
          <w:rFonts w:cs="Arial"/>
          <w:sz w:val="22"/>
          <w:szCs w:val="22"/>
        </w:rPr>
        <w:t xml:space="preserve"> atualização poderá, a critério do BNDES/FINAME, passar a ser efetuada mediante utilização do novo critério, estabelecido pela autoridade competente para atualização dos referidos recursos. Nesse caso, o BNDES/FINAME comunicará a alteração às INSTITUIÇÕES FINANCEIRAS CREDENCIADAS.</w:t>
      </w:r>
    </w:p>
    <w:p w14:paraId="458DE95A" w14:textId="77777777" w:rsidR="00245003" w:rsidRDefault="00245003" w:rsidP="00245003">
      <w:pPr>
        <w:keepNext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OBRIGAÇÕES ESPECIAIS DA BENEFICIÁRIA FINAL</w:t>
      </w:r>
      <w:r>
        <w:rPr>
          <w:rFonts w:ascii="Arial" w:hAnsi="Arial" w:cs="Arial"/>
          <w:sz w:val="22"/>
          <w:szCs w:val="22"/>
        </w:rPr>
        <w:t>: Obriga-se a BENEFICIÁRIA FINAL a:</w:t>
      </w:r>
    </w:p>
    <w:p w14:paraId="703DED72" w14:textId="6FF1554F" w:rsidR="00245003" w:rsidRDefault="00245003" w:rsidP="00245003">
      <w:pPr>
        <w:pStyle w:val="BNDES"/>
        <w:widowControl w:val="0"/>
        <w:tabs>
          <w:tab w:val="left" w:pos="284"/>
        </w:tabs>
        <w:spacing w:before="120" w:after="120"/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I.</w:t>
      </w:r>
      <w:r>
        <w:rPr>
          <w:rFonts w:cs="Arial"/>
          <w:sz w:val="22"/>
          <w:szCs w:val="22"/>
        </w:rPr>
        <w:tab/>
        <w:t>fornecer as informações solicitadas pelo Conselho Gestor do FUST, sob pena de suspensão de liberações de crédito das parcelas vincendas, ou de novas contratações com recursos do F</w:t>
      </w:r>
      <w:r w:rsidR="0079572F">
        <w:rPr>
          <w:rFonts w:cs="Arial"/>
          <w:sz w:val="22"/>
          <w:szCs w:val="22"/>
        </w:rPr>
        <w:t>UST</w:t>
      </w:r>
      <w:r>
        <w:rPr>
          <w:rFonts w:cs="Arial"/>
          <w:sz w:val="22"/>
          <w:szCs w:val="22"/>
        </w:rPr>
        <w:t>;</w:t>
      </w:r>
    </w:p>
    <w:p w14:paraId="12CB20C2" w14:textId="18629BBB" w:rsidR="00245003" w:rsidRDefault="00245003" w:rsidP="00245003">
      <w:pPr>
        <w:pStyle w:val="BNDES"/>
        <w:widowControl w:val="0"/>
        <w:tabs>
          <w:tab w:val="left" w:pos="284"/>
        </w:tabs>
        <w:spacing w:before="120" w:after="120"/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II.</w:t>
      </w:r>
      <w:r>
        <w:rPr>
          <w:rFonts w:cs="Arial"/>
          <w:sz w:val="22"/>
          <w:szCs w:val="22"/>
        </w:rPr>
        <w:tab/>
        <w:t>mencionar, sempre com destaque, em qualquer divulgação relacionada ao bem financiado, a colaboração do FUST, mediante a utilização da logomarca des</w:t>
      </w:r>
      <w:r w:rsidR="0079572F">
        <w:rPr>
          <w:rFonts w:cs="Arial"/>
          <w:sz w:val="22"/>
          <w:szCs w:val="22"/>
        </w:rPr>
        <w:t>s</w:t>
      </w:r>
      <w:r>
        <w:rPr>
          <w:rFonts w:cs="Arial"/>
          <w:sz w:val="22"/>
          <w:szCs w:val="22"/>
        </w:rPr>
        <w:t>e Fundo;</w:t>
      </w:r>
    </w:p>
    <w:p w14:paraId="15B46D26" w14:textId="1E0CD53B" w:rsidR="00245003" w:rsidRDefault="00245003" w:rsidP="00245003">
      <w:pPr>
        <w:pStyle w:val="BNDES"/>
        <w:widowControl w:val="0"/>
        <w:tabs>
          <w:tab w:val="left" w:pos="284"/>
        </w:tabs>
        <w:spacing w:before="120" w:after="120"/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III.</w:t>
      </w:r>
      <w:r>
        <w:rPr>
          <w:rFonts w:cs="Arial"/>
          <w:sz w:val="22"/>
          <w:szCs w:val="22"/>
        </w:rPr>
        <w:tab/>
      </w:r>
      <w:r w:rsidR="0079572F">
        <w:rPr>
          <w:rFonts w:cs="Arial"/>
          <w:sz w:val="22"/>
          <w:szCs w:val="22"/>
        </w:rPr>
        <w:t>O Cliente</w:t>
      </w:r>
      <w:r w:rsidR="00FF461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Final declara que tem ciência de que informações decorrentes do contrato poderão ser encaminhadas ao Conselho Gestor do FUST</w:t>
      </w:r>
      <w:r w:rsidR="006B5E78">
        <w:rPr>
          <w:rFonts w:cs="Arial"/>
          <w:sz w:val="22"/>
          <w:szCs w:val="22"/>
        </w:rPr>
        <w:t xml:space="preserve"> ou a órgãos de controle</w:t>
      </w:r>
      <w:r>
        <w:rPr>
          <w:rFonts w:cs="Arial"/>
          <w:sz w:val="22"/>
          <w:szCs w:val="22"/>
        </w:rPr>
        <w:t>,</w:t>
      </w:r>
      <w:r w:rsidR="006B5E78">
        <w:rPr>
          <w:rFonts w:cs="Arial"/>
          <w:sz w:val="22"/>
          <w:szCs w:val="22"/>
        </w:rPr>
        <w:t xml:space="preserve"> tais como</w:t>
      </w:r>
      <w:r>
        <w:rPr>
          <w:rFonts w:cs="Arial"/>
          <w:sz w:val="22"/>
          <w:szCs w:val="22"/>
        </w:rPr>
        <w:t xml:space="preserve"> Tribunal de Contas da União (TCU), Controladoria-Geral da União (CGU)</w:t>
      </w:r>
      <w:r w:rsidR="006B5E78">
        <w:rPr>
          <w:rFonts w:cs="Arial"/>
          <w:sz w:val="22"/>
          <w:szCs w:val="22"/>
        </w:rPr>
        <w:t xml:space="preserve"> e</w:t>
      </w:r>
      <w:r>
        <w:rPr>
          <w:rFonts w:cs="Arial"/>
          <w:sz w:val="22"/>
          <w:szCs w:val="22"/>
        </w:rPr>
        <w:t xml:space="preserve"> Ministério Público Federal (MPF), com a transferência do dever de sigilo.</w:t>
      </w:r>
    </w:p>
    <w:p w14:paraId="565CC2CD" w14:textId="68833E3A" w:rsidR="004504E3" w:rsidRPr="003826F8" w:rsidRDefault="004504E3" w:rsidP="003826F8">
      <w:pPr>
        <w:pStyle w:val="BNDES"/>
        <w:spacing w:before="120" w:after="120"/>
        <w:rPr>
          <w:rFonts w:cs="Arial"/>
          <w:color w:val="000000"/>
          <w:sz w:val="22"/>
          <w:szCs w:val="22"/>
        </w:rPr>
      </w:pPr>
    </w:p>
    <w:sectPr w:rsidR="004504E3" w:rsidRPr="003826F8" w:rsidSect="00A40DF7">
      <w:pgSz w:w="11907" w:h="16840" w:code="9"/>
      <w:pgMar w:top="1701" w:right="851" w:bottom="709" w:left="1418" w:header="720" w:footer="6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9FD83" w14:textId="77777777" w:rsidR="00CC5582" w:rsidRDefault="00CC5582">
      <w:r>
        <w:separator/>
      </w:r>
    </w:p>
  </w:endnote>
  <w:endnote w:type="continuationSeparator" w:id="0">
    <w:p w14:paraId="2F84951B" w14:textId="77777777" w:rsidR="00CC5582" w:rsidRDefault="00CC5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7A11" w14:textId="77777777" w:rsidR="005632FD" w:rsidRDefault="005632FD" w:rsidP="00A40DF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0B35C92E" w14:textId="77777777" w:rsidR="005632FD" w:rsidRDefault="005632FD" w:rsidP="00A40DF7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B0D25" w14:textId="77777777" w:rsidR="005632FD" w:rsidRPr="00C178B1" w:rsidRDefault="00C178B1" w:rsidP="00A40DF7">
    <w:pPr>
      <w:pStyle w:val="Rodap"/>
      <w:framePr w:wrap="around" w:vAnchor="text" w:hAnchor="margin" w:xAlign="right" w:y="1"/>
      <w:rPr>
        <w:rStyle w:val="Nmerodepgina"/>
        <w:rFonts w:ascii="Arial" w:hAnsi="Arial" w:cs="Arial"/>
        <w:sz w:val="22"/>
      </w:rPr>
    </w:pPr>
    <w:r>
      <w:rPr>
        <w:rStyle w:val="Nmerodepgina"/>
        <w:rFonts w:ascii="Arial" w:hAnsi="Arial" w:cs="Arial"/>
      </w:rPr>
      <w:tab/>
    </w:r>
    <w:r w:rsidR="005632FD" w:rsidRPr="00C178B1">
      <w:rPr>
        <w:rStyle w:val="Nmerodepgina"/>
        <w:rFonts w:ascii="Arial" w:hAnsi="Arial" w:cs="Arial"/>
        <w:sz w:val="22"/>
      </w:rPr>
      <w:fldChar w:fldCharType="begin"/>
    </w:r>
    <w:r w:rsidR="005632FD" w:rsidRPr="00C178B1">
      <w:rPr>
        <w:rStyle w:val="Nmerodepgina"/>
        <w:rFonts w:ascii="Arial" w:hAnsi="Arial" w:cs="Arial"/>
        <w:sz w:val="22"/>
      </w:rPr>
      <w:instrText xml:space="preserve">PAGE  </w:instrText>
    </w:r>
    <w:r w:rsidR="005632FD" w:rsidRPr="00C178B1">
      <w:rPr>
        <w:rStyle w:val="Nmerodepgina"/>
        <w:rFonts w:ascii="Arial" w:hAnsi="Arial" w:cs="Arial"/>
        <w:sz w:val="22"/>
      </w:rPr>
      <w:fldChar w:fldCharType="separate"/>
    </w:r>
    <w:r w:rsidR="00DA182E">
      <w:rPr>
        <w:rStyle w:val="Nmerodepgina"/>
        <w:rFonts w:ascii="Arial" w:hAnsi="Arial" w:cs="Arial"/>
        <w:noProof/>
        <w:sz w:val="22"/>
      </w:rPr>
      <w:t>1</w:t>
    </w:r>
    <w:r w:rsidR="005632FD" w:rsidRPr="00C178B1">
      <w:rPr>
        <w:rStyle w:val="Nmerodepgina"/>
        <w:rFonts w:ascii="Arial" w:hAnsi="Arial" w:cs="Arial"/>
        <w:sz w:val="22"/>
      </w:rPr>
      <w:fldChar w:fldCharType="end"/>
    </w:r>
  </w:p>
  <w:p w14:paraId="01441871" w14:textId="77777777" w:rsidR="005632FD" w:rsidRDefault="005632FD" w:rsidP="00A40DF7">
    <w:pPr>
      <w:pStyle w:val="Rodap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D7849" w14:textId="77777777" w:rsidR="005632FD" w:rsidRDefault="005632FD" w:rsidP="00E266C4">
    <w:pPr>
      <w:pStyle w:val="Rodap"/>
      <w:jc w:val="right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77AC8978" w14:textId="77777777" w:rsidR="005632FD" w:rsidRDefault="005632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2A683" w14:textId="77777777" w:rsidR="00CC5582" w:rsidRDefault="00CC5582">
      <w:r>
        <w:separator/>
      </w:r>
    </w:p>
  </w:footnote>
  <w:footnote w:type="continuationSeparator" w:id="0">
    <w:p w14:paraId="605739CF" w14:textId="77777777" w:rsidR="00CC5582" w:rsidRDefault="00CC5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5710C" w14:textId="398BBF45" w:rsidR="005632FD" w:rsidRPr="0074287C" w:rsidRDefault="00815063" w:rsidP="00DE67B5">
    <w:pPr>
      <w:tabs>
        <w:tab w:val="left" w:pos="-720"/>
        <w:tab w:val="left" w:pos="142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2835"/>
      <w:jc w:val="right"/>
      <w:rPr>
        <w:rFonts w:ascii="Helv" w:hAnsi="Helv" w:cs="Helv"/>
        <w:color w:val="000000"/>
        <w:sz w:val="18"/>
        <w:szCs w:val="18"/>
      </w:rPr>
    </w:pPr>
    <w:r>
      <w:rPr>
        <w:b/>
        <w:noProof/>
      </w:rPr>
      <w:drawing>
        <wp:anchor distT="0" distB="0" distL="114300" distR="114300" simplePos="0" relativeHeight="251658240" behindDoc="0" locked="0" layoutInCell="1" allowOverlap="1" wp14:anchorId="631BDB00" wp14:editId="17EEA710">
          <wp:simplePos x="0" y="0"/>
          <wp:positionH relativeFrom="column">
            <wp:posOffset>-48895</wp:posOffset>
          </wp:positionH>
          <wp:positionV relativeFrom="paragraph">
            <wp:posOffset>2540</wp:posOffset>
          </wp:positionV>
          <wp:extent cx="1619250" cy="342900"/>
          <wp:effectExtent l="0" t="0" r="0" b="0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67B5" w:rsidRPr="00F83D4F">
      <w:rPr>
        <w:rFonts w:ascii="Helv" w:hAnsi="Helv" w:cs="Helv"/>
        <w:b/>
        <w:color w:val="000000"/>
        <w:sz w:val="18"/>
        <w:szCs w:val="18"/>
      </w:rPr>
      <w:t>Grau</w:t>
    </w:r>
    <w:r w:rsidR="005632FD" w:rsidRPr="00F83D4F">
      <w:rPr>
        <w:rFonts w:ascii="Helv" w:hAnsi="Helv" w:cs="Helv"/>
        <w:b/>
        <w:color w:val="000000"/>
        <w:sz w:val="18"/>
        <w:szCs w:val="18"/>
      </w:rPr>
      <w:t>:</w:t>
    </w:r>
    <w:r w:rsidR="005632FD" w:rsidRPr="0074287C">
      <w:rPr>
        <w:rFonts w:ascii="Helv" w:hAnsi="Helv" w:cs="Helv"/>
        <w:color w:val="000000"/>
        <w:sz w:val="18"/>
        <w:szCs w:val="18"/>
      </w:rPr>
      <w:t xml:space="preserve"> Documento </w:t>
    </w:r>
    <w:r w:rsidR="005632FD">
      <w:rPr>
        <w:rFonts w:ascii="Helv" w:hAnsi="Helv" w:cs="Helv"/>
        <w:color w:val="000000"/>
        <w:sz w:val="18"/>
        <w:szCs w:val="18"/>
      </w:rPr>
      <w:t>Ostensivo</w:t>
    </w:r>
  </w:p>
  <w:p w14:paraId="192EB9A5" w14:textId="77777777" w:rsidR="005632FD" w:rsidRPr="0074287C" w:rsidRDefault="005632FD" w:rsidP="00DE67B5">
    <w:pPr>
      <w:pStyle w:val="Cabealho"/>
      <w:tabs>
        <w:tab w:val="left" w:pos="142"/>
      </w:tabs>
      <w:ind w:left="2835"/>
      <w:jc w:val="right"/>
      <w:rPr>
        <w:color w:val="000000"/>
      </w:rPr>
    </w:pPr>
    <w:r w:rsidRPr="00F83D4F">
      <w:rPr>
        <w:rFonts w:ascii="Helv" w:hAnsi="Helv" w:cs="Helv"/>
        <w:b/>
        <w:color w:val="000000"/>
        <w:sz w:val="18"/>
        <w:szCs w:val="18"/>
      </w:rPr>
      <w:t>Unidade Gestora:</w:t>
    </w:r>
    <w:r w:rsidRPr="0074287C">
      <w:rPr>
        <w:rFonts w:ascii="Helv" w:hAnsi="Helv" w:cs="Helv"/>
        <w:color w:val="000000"/>
        <w:sz w:val="18"/>
        <w:szCs w:val="18"/>
      </w:rPr>
      <w:t xml:space="preserve"> </w:t>
    </w:r>
    <w:r w:rsidR="00DE67B5">
      <w:rPr>
        <w:rFonts w:ascii="Helv" w:hAnsi="Helv" w:cs="Helv"/>
        <w:color w:val="000000"/>
        <w:sz w:val="18"/>
        <w:szCs w:val="18"/>
      </w:rPr>
      <w:t>A</w:t>
    </w:r>
    <w:r w:rsidR="001A2C7E">
      <w:rPr>
        <w:rFonts w:ascii="Helv" w:hAnsi="Helv" w:cs="Helv"/>
        <w:color w:val="000000"/>
        <w:sz w:val="18"/>
        <w:szCs w:val="18"/>
      </w:rPr>
      <w:t>DIG</w:t>
    </w:r>
    <w:r w:rsidRPr="0074287C">
      <w:rPr>
        <w:rFonts w:ascii="Helv" w:hAnsi="Helv" w:cs="Helv"/>
        <w:color w:val="000000"/>
        <w:sz w:val="18"/>
        <w:szCs w:val="18"/>
      </w:rPr>
      <w:t xml:space="preserve"> </w:t>
    </w:r>
  </w:p>
  <w:p w14:paraId="3094B214" w14:textId="77777777" w:rsidR="005632FD" w:rsidRDefault="005632FD">
    <w:pPr>
      <w:pStyle w:val="Cabealho"/>
    </w:pPr>
  </w:p>
  <w:p w14:paraId="53807983" w14:textId="77777777" w:rsidR="005632FD" w:rsidRDefault="005632F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F37F0" w14:textId="7B94D98F" w:rsidR="005632FD" w:rsidRPr="0074287C" w:rsidRDefault="00815063" w:rsidP="0074287C">
    <w:pPr>
      <w:tabs>
        <w:tab w:val="left" w:pos="-720"/>
        <w:tab w:val="left" w:pos="142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2835"/>
      <w:jc w:val="both"/>
      <w:rPr>
        <w:rFonts w:ascii="Helv" w:hAnsi="Helv" w:cs="Helv"/>
        <w:color w:val="000000"/>
        <w:sz w:val="18"/>
        <w:szCs w:val="18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3EAD8084" wp14:editId="0117729E">
          <wp:simplePos x="0" y="0"/>
          <wp:positionH relativeFrom="column">
            <wp:posOffset>-48895</wp:posOffset>
          </wp:positionH>
          <wp:positionV relativeFrom="paragraph">
            <wp:posOffset>2540</wp:posOffset>
          </wp:positionV>
          <wp:extent cx="1619250" cy="342900"/>
          <wp:effectExtent l="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32FD" w:rsidRPr="0074287C">
      <w:rPr>
        <w:rFonts w:ascii="Helv" w:hAnsi="Helv" w:cs="Helv"/>
        <w:color w:val="000000"/>
        <w:sz w:val="18"/>
        <w:szCs w:val="18"/>
      </w:rPr>
      <w:t xml:space="preserve">Classificação: Documento </w:t>
    </w:r>
    <w:r w:rsidR="005632FD">
      <w:rPr>
        <w:rFonts w:ascii="Helv" w:hAnsi="Helv" w:cs="Helv"/>
        <w:color w:val="000000"/>
        <w:sz w:val="18"/>
        <w:szCs w:val="18"/>
      </w:rPr>
      <w:t>Ostensivo</w:t>
    </w:r>
  </w:p>
  <w:p w14:paraId="6841AEB1" w14:textId="77777777" w:rsidR="005632FD" w:rsidRPr="0074287C" w:rsidRDefault="005632FD" w:rsidP="0074287C">
    <w:pPr>
      <w:pStyle w:val="Cabealho"/>
      <w:tabs>
        <w:tab w:val="left" w:pos="142"/>
      </w:tabs>
      <w:ind w:left="2835"/>
      <w:jc w:val="both"/>
      <w:rPr>
        <w:color w:val="000000"/>
      </w:rPr>
    </w:pPr>
    <w:r w:rsidRPr="0074287C">
      <w:rPr>
        <w:rFonts w:ascii="Helv" w:hAnsi="Helv" w:cs="Helv"/>
        <w:color w:val="000000"/>
        <w:sz w:val="18"/>
        <w:szCs w:val="18"/>
      </w:rPr>
      <w:t xml:space="preserve">Unidade Gestora: AGRIS </w:t>
    </w:r>
  </w:p>
  <w:p w14:paraId="3AD79CD9" w14:textId="77777777" w:rsidR="005632FD" w:rsidRPr="001270FE" w:rsidRDefault="005632FD" w:rsidP="001270FE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08F4E9EA"/>
    <w:lvl w:ilvl="0">
      <w:start w:val="1"/>
      <w:numFmt w:val="bullet"/>
      <w:pStyle w:val="titulopo4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644E5EF4"/>
    <w:lvl w:ilvl="0">
      <w:start w:val="1"/>
      <w:numFmt w:val="bullet"/>
      <w:pStyle w:val="Commarcadores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766EF418"/>
    <w:lvl w:ilvl="0">
      <w:start w:val="1"/>
      <w:numFmt w:val="bullet"/>
      <w:pStyle w:val="Textodenotaderodap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1856915"/>
    <w:multiLevelType w:val="multilevel"/>
    <w:tmpl w:val="17625A78"/>
    <w:lvl w:ilvl="0">
      <w:start w:val="7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  <w:b/>
      </w:rPr>
    </w:lvl>
  </w:abstractNum>
  <w:abstractNum w:abstractNumId="4" w15:restartNumberingAfterBreak="0">
    <w:nsid w:val="04B07DC9"/>
    <w:multiLevelType w:val="hybridMultilevel"/>
    <w:tmpl w:val="9B58EABC"/>
    <w:lvl w:ilvl="0" w:tplc="ED7C50DE">
      <w:start w:val="1"/>
      <w:numFmt w:val="none"/>
      <w:lvlText w:val="a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4"/>
      </w:rPr>
    </w:lvl>
    <w:lvl w:ilvl="1" w:tplc="2162316C">
      <w:numFmt w:val="bullet"/>
      <w:lvlText w:val=""/>
      <w:lvlJc w:val="left"/>
      <w:pPr>
        <w:tabs>
          <w:tab w:val="num" w:pos="1440"/>
        </w:tabs>
        <w:ind w:left="1440" w:hanging="360"/>
      </w:pPr>
      <w:rPr>
        <w:rFonts w:ascii="Monotype Sorts" w:eastAsia="Times New Roman" w:hAnsi="Monotype Sorts" w:cs="Times New Roman" w:hint="default"/>
        <w:sz w:val="24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551621"/>
    <w:multiLevelType w:val="hybridMultilevel"/>
    <w:tmpl w:val="98CA06E6"/>
    <w:lvl w:ilvl="0" w:tplc="242897A4">
      <w:start w:val="1"/>
      <w:numFmt w:val="decimal"/>
      <w:lvlText w:val="(%1)"/>
      <w:lvlJc w:val="left"/>
      <w:pPr>
        <w:ind w:left="3337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4057" w:hanging="360"/>
      </w:pPr>
    </w:lvl>
    <w:lvl w:ilvl="2" w:tplc="0416001B" w:tentative="1">
      <w:start w:val="1"/>
      <w:numFmt w:val="lowerRoman"/>
      <w:lvlText w:val="%3."/>
      <w:lvlJc w:val="right"/>
      <w:pPr>
        <w:ind w:left="4777" w:hanging="180"/>
      </w:pPr>
    </w:lvl>
    <w:lvl w:ilvl="3" w:tplc="0416000F" w:tentative="1">
      <w:start w:val="1"/>
      <w:numFmt w:val="decimal"/>
      <w:lvlText w:val="%4."/>
      <w:lvlJc w:val="left"/>
      <w:pPr>
        <w:ind w:left="5497" w:hanging="360"/>
      </w:pPr>
    </w:lvl>
    <w:lvl w:ilvl="4" w:tplc="04160019" w:tentative="1">
      <w:start w:val="1"/>
      <w:numFmt w:val="lowerLetter"/>
      <w:lvlText w:val="%5."/>
      <w:lvlJc w:val="left"/>
      <w:pPr>
        <w:ind w:left="6217" w:hanging="360"/>
      </w:pPr>
    </w:lvl>
    <w:lvl w:ilvl="5" w:tplc="0416001B" w:tentative="1">
      <w:start w:val="1"/>
      <w:numFmt w:val="lowerRoman"/>
      <w:lvlText w:val="%6."/>
      <w:lvlJc w:val="right"/>
      <w:pPr>
        <w:ind w:left="6937" w:hanging="180"/>
      </w:pPr>
    </w:lvl>
    <w:lvl w:ilvl="6" w:tplc="0416000F" w:tentative="1">
      <w:start w:val="1"/>
      <w:numFmt w:val="decimal"/>
      <w:lvlText w:val="%7."/>
      <w:lvlJc w:val="left"/>
      <w:pPr>
        <w:ind w:left="7657" w:hanging="360"/>
      </w:pPr>
    </w:lvl>
    <w:lvl w:ilvl="7" w:tplc="04160019" w:tentative="1">
      <w:start w:val="1"/>
      <w:numFmt w:val="lowerLetter"/>
      <w:lvlText w:val="%8."/>
      <w:lvlJc w:val="left"/>
      <w:pPr>
        <w:ind w:left="8377" w:hanging="360"/>
      </w:pPr>
    </w:lvl>
    <w:lvl w:ilvl="8" w:tplc="0416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6" w15:restartNumberingAfterBreak="0">
    <w:nsid w:val="06F219DF"/>
    <w:multiLevelType w:val="hybridMultilevel"/>
    <w:tmpl w:val="795C58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4A629E"/>
    <w:multiLevelType w:val="hybridMultilevel"/>
    <w:tmpl w:val="1152BD86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0B6271ED"/>
    <w:multiLevelType w:val="multilevel"/>
    <w:tmpl w:val="EBB4E5D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ascii="Arial" w:hAnsi="Arial"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  <w:b/>
      </w:rPr>
    </w:lvl>
  </w:abstractNum>
  <w:abstractNum w:abstractNumId="9" w15:restartNumberingAfterBreak="0">
    <w:nsid w:val="10C9280E"/>
    <w:multiLevelType w:val="multilevel"/>
    <w:tmpl w:val="703C0D0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11632C3D"/>
    <w:multiLevelType w:val="multilevel"/>
    <w:tmpl w:val="4836B6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/>
        <w:bCs w:val="0"/>
        <w:i w:val="0"/>
        <w:iCs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1" w15:restartNumberingAfterBreak="0">
    <w:nsid w:val="11EA6B13"/>
    <w:multiLevelType w:val="multilevel"/>
    <w:tmpl w:val="78749C0E"/>
    <w:lvl w:ilvl="0">
      <w:start w:val="9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96" w:hanging="2160"/>
      </w:pPr>
      <w:rPr>
        <w:rFonts w:hint="default"/>
      </w:rPr>
    </w:lvl>
  </w:abstractNum>
  <w:abstractNum w:abstractNumId="12" w15:restartNumberingAfterBreak="0">
    <w:nsid w:val="169E5B19"/>
    <w:multiLevelType w:val="multilevel"/>
    <w:tmpl w:val="51C0C2D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pStyle w:val="Corpodetexto21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  <w:b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3" w15:restartNumberingAfterBreak="0">
    <w:nsid w:val="1F7E4E0C"/>
    <w:multiLevelType w:val="multilevel"/>
    <w:tmpl w:val="51DCE6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008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 (W1)" w:hAnsi="Arial (W1)" w:hint="default"/>
        <w:b/>
        <w:i w:val="0"/>
        <w:color w:val="000080"/>
        <w:sz w:val="24"/>
        <w:szCs w:val="24"/>
      </w:rPr>
    </w:lvl>
    <w:lvl w:ilvl="2"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Arial (W1)" w:hAnsi="Arial (W1)" w:hint="default"/>
        <w:b/>
        <w:i w:val="0"/>
        <w:sz w:val="24"/>
        <w:szCs w:val="24"/>
      </w:rPr>
    </w:lvl>
    <w:lvl w:ilvl="3"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  <w:sz w:val="24"/>
        <w:szCs w:val="24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21EA48A9"/>
    <w:multiLevelType w:val="hybridMultilevel"/>
    <w:tmpl w:val="844CF92C"/>
    <w:lvl w:ilvl="0" w:tplc="35242262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 w15:restartNumberingAfterBreak="0">
    <w:nsid w:val="28753C95"/>
    <w:multiLevelType w:val="hybridMultilevel"/>
    <w:tmpl w:val="8D8CBA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153528"/>
    <w:multiLevelType w:val="multilevel"/>
    <w:tmpl w:val="191A71A8"/>
    <w:lvl w:ilvl="0">
      <w:start w:val="10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  <w:color w:val="auto"/>
      </w:rPr>
    </w:lvl>
  </w:abstractNum>
  <w:abstractNum w:abstractNumId="17" w15:restartNumberingAfterBreak="0">
    <w:nsid w:val="2ECE4971"/>
    <w:multiLevelType w:val="hybridMultilevel"/>
    <w:tmpl w:val="8FB2339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DA1856"/>
    <w:multiLevelType w:val="multilevel"/>
    <w:tmpl w:val="A3CC44E2"/>
    <w:lvl w:ilvl="0">
      <w:start w:val="1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38EB4132"/>
    <w:multiLevelType w:val="hybridMultilevel"/>
    <w:tmpl w:val="48346756"/>
    <w:lvl w:ilvl="0" w:tplc="AAAADFCC">
      <w:start w:val="1"/>
      <w:numFmt w:val="lowerLetter"/>
      <w:lvlText w:val="%1)"/>
      <w:lvlJc w:val="left"/>
      <w:pPr>
        <w:ind w:left="135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3B027399"/>
    <w:multiLevelType w:val="hybridMultilevel"/>
    <w:tmpl w:val="139EFC1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7">
      <w:start w:val="1"/>
      <w:numFmt w:val="lowerLetter"/>
      <w:lvlText w:val="%2)"/>
      <w:lvlJc w:val="left"/>
      <w:pPr>
        <w:ind w:left="2007" w:hanging="360"/>
      </w:p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>
      <w:start w:val="1"/>
      <w:numFmt w:val="lowerLetter"/>
      <w:lvlText w:val="%5."/>
      <w:lvlJc w:val="left"/>
      <w:pPr>
        <w:ind w:left="4167" w:hanging="360"/>
      </w:pPr>
    </w:lvl>
    <w:lvl w:ilvl="5" w:tplc="0416001B">
      <w:start w:val="1"/>
      <w:numFmt w:val="lowerRoman"/>
      <w:lvlText w:val="%6."/>
      <w:lvlJc w:val="right"/>
      <w:pPr>
        <w:ind w:left="4887" w:hanging="180"/>
      </w:pPr>
    </w:lvl>
    <w:lvl w:ilvl="6" w:tplc="0416000F">
      <w:start w:val="1"/>
      <w:numFmt w:val="decimal"/>
      <w:lvlText w:val="%7."/>
      <w:lvlJc w:val="left"/>
      <w:pPr>
        <w:ind w:left="5607" w:hanging="360"/>
      </w:pPr>
    </w:lvl>
    <w:lvl w:ilvl="7" w:tplc="04160019">
      <w:start w:val="1"/>
      <w:numFmt w:val="lowerLetter"/>
      <w:lvlText w:val="%8."/>
      <w:lvlJc w:val="left"/>
      <w:pPr>
        <w:ind w:left="6327" w:hanging="360"/>
      </w:pPr>
    </w:lvl>
    <w:lvl w:ilvl="8" w:tplc="0416001B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B0E5118"/>
    <w:multiLevelType w:val="multilevel"/>
    <w:tmpl w:val="8B7A46AA"/>
    <w:lvl w:ilvl="0">
      <w:start w:val="2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0" w:hanging="2160"/>
      </w:pPr>
      <w:rPr>
        <w:rFonts w:hint="default"/>
      </w:rPr>
    </w:lvl>
  </w:abstractNum>
  <w:abstractNum w:abstractNumId="22" w15:restartNumberingAfterBreak="0">
    <w:nsid w:val="3D220C2B"/>
    <w:multiLevelType w:val="multilevel"/>
    <w:tmpl w:val="C74C3030"/>
    <w:lvl w:ilvl="0">
      <w:start w:val="1"/>
      <w:numFmt w:val="decimal"/>
      <w:pStyle w:val="Numeraoon-line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D662A06"/>
    <w:multiLevelType w:val="multilevel"/>
    <w:tmpl w:val="F8A0952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sz w:val="28"/>
      </w:rPr>
    </w:lvl>
    <w:lvl w:ilvl="1">
      <w:start w:val="1"/>
      <w:numFmt w:val="lowerLetter"/>
      <w:lvlText w:val="%2)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3F5145E0"/>
    <w:multiLevelType w:val="multilevel"/>
    <w:tmpl w:val="B278114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08621A1"/>
    <w:multiLevelType w:val="multilevel"/>
    <w:tmpl w:val="EBB4E5D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ascii="Arial" w:hAnsi="Arial"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  <w:b/>
      </w:rPr>
    </w:lvl>
  </w:abstractNum>
  <w:abstractNum w:abstractNumId="26" w15:restartNumberingAfterBreak="0">
    <w:nsid w:val="414F2308"/>
    <w:multiLevelType w:val="multilevel"/>
    <w:tmpl w:val="4352F082"/>
    <w:lvl w:ilvl="0">
      <w:start w:val="7"/>
      <w:numFmt w:val="decimal"/>
      <w:lvlText w:val="%1."/>
      <w:lvlJc w:val="left"/>
      <w:pPr>
        <w:ind w:left="612" w:hanging="612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Arial" w:hint="default"/>
      </w:rPr>
    </w:lvl>
  </w:abstractNum>
  <w:abstractNum w:abstractNumId="27" w15:restartNumberingAfterBreak="0">
    <w:nsid w:val="422C5181"/>
    <w:multiLevelType w:val="multilevel"/>
    <w:tmpl w:val="D69E0660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28" w15:restartNumberingAfterBreak="0">
    <w:nsid w:val="48DC6CF5"/>
    <w:multiLevelType w:val="multilevel"/>
    <w:tmpl w:val="783CF9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BFE023A"/>
    <w:multiLevelType w:val="multilevel"/>
    <w:tmpl w:val="8C8C3F06"/>
    <w:lvl w:ilvl="0">
      <w:start w:val="1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ascii="Arial" w:eastAsia="Times New Roman" w:hAnsi="Arial" w:cs="Arial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ascii="Arial" w:hAnsi="Arial" w:hint="default"/>
        <w:b/>
        <w:i w:val="0"/>
        <w:strike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ascii="Arial" w:hAnsi="Arial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ascii="Arial" w:hAnsi="Arial" w:hint="default"/>
        <w:b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30" w15:restartNumberingAfterBreak="0">
    <w:nsid w:val="4C0F1665"/>
    <w:multiLevelType w:val="hybridMultilevel"/>
    <w:tmpl w:val="B148B0A4"/>
    <w:lvl w:ilvl="0" w:tplc="F49CAFD0">
      <w:start w:val="1"/>
      <w:numFmt w:val="none"/>
      <w:lvlText w:val="b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4E76E3E"/>
    <w:multiLevelType w:val="hybridMultilevel"/>
    <w:tmpl w:val="157C8BA8"/>
    <w:lvl w:ilvl="0" w:tplc="98F8CAF6">
      <w:start w:val="1"/>
      <w:numFmt w:val="lowerLetter"/>
      <w:lvlText w:val="%1)"/>
      <w:lvlJc w:val="left"/>
      <w:pPr>
        <w:tabs>
          <w:tab w:val="num" w:pos="2204"/>
        </w:tabs>
        <w:ind w:left="2204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2" w15:restartNumberingAfterBreak="0">
    <w:nsid w:val="5FAA3E8A"/>
    <w:multiLevelType w:val="multilevel"/>
    <w:tmpl w:val="46E40B46"/>
    <w:lvl w:ilvl="0">
      <w:start w:val="3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3" w15:restartNumberingAfterBreak="0">
    <w:nsid w:val="60852762"/>
    <w:multiLevelType w:val="multilevel"/>
    <w:tmpl w:val="72D85CCC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9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34" w15:restartNumberingAfterBreak="0">
    <w:nsid w:val="656E0CB1"/>
    <w:multiLevelType w:val="hybridMultilevel"/>
    <w:tmpl w:val="91644B68"/>
    <w:lvl w:ilvl="0" w:tplc="EC2E3390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FD33A2E"/>
    <w:multiLevelType w:val="multilevel"/>
    <w:tmpl w:val="547C7D24"/>
    <w:lvl w:ilvl="0">
      <w:start w:val="5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36" w15:restartNumberingAfterBreak="0">
    <w:nsid w:val="721B4EE4"/>
    <w:multiLevelType w:val="hybridMultilevel"/>
    <w:tmpl w:val="0B90D39C"/>
    <w:lvl w:ilvl="0" w:tplc="B17EA4FC">
      <w:start w:val="1"/>
      <w:numFmt w:val="lowerLetter"/>
      <w:lvlText w:val="%1)"/>
      <w:lvlJc w:val="left"/>
      <w:pPr>
        <w:ind w:left="2061" w:hanging="360"/>
      </w:pPr>
      <w:rPr>
        <w:rFonts w:hint="default"/>
        <w:i w:val="0"/>
        <w:color w:val="auto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7" w15:restartNumberingAfterBreak="0">
    <w:nsid w:val="743B5BAC"/>
    <w:multiLevelType w:val="hybridMultilevel"/>
    <w:tmpl w:val="82B602BE"/>
    <w:lvl w:ilvl="0" w:tplc="86A26A3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8" w15:restartNumberingAfterBreak="0">
    <w:nsid w:val="7BF81BC9"/>
    <w:multiLevelType w:val="hybridMultilevel"/>
    <w:tmpl w:val="663ED732"/>
    <w:lvl w:ilvl="0" w:tplc="4D788AC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 (W1)" w:hAnsi="Arial (W1)"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51305774">
    <w:abstractNumId w:val="1"/>
  </w:num>
  <w:num w:numId="2" w16cid:durableId="25184041">
    <w:abstractNumId w:val="0"/>
  </w:num>
  <w:num w:numId="3" w16cid:durableId="1184248167">
    <w:abstractNumId w:val="2"/>
  </w:num>
  <w:num w:numId="4" w16cid:durableId="26561907">
    <w:abstractNumId w:val="22"/>
  </w:num>
  <w:num w:numId="5" w16cid:durableId="1805929834">
    <w:abstractNumId w:val="12"/>
  </w:num>
  <w:num w:numId="6" w16cid:durableId="855925116">
    <w:abstractNumId w:val="4"/>
  </w:num>
  <w:num w:numId="7" w16cid:durableId="760487315">
    <w:abstractNumId w:val="30"/>
  </w:num>
  <w:num w:numId="8" w16cid:durableId="1351033980">
    <w:abstractNumId w:val="8"/>
  </w:num>
  <w:num w:numId="9" w16cid:durableId="1711495700">
    <w:abstractNumId w:val="9"/>
  </w:num>
  <w:num w:numId="10" w16cid:durableId="1914121564">
    <w:abstractNumId w:val="16"/>
  </w:num>
  <w:num w:numId="11" w16cid:durableId="1553037087">
    <w:abstractNumId w:val="35"/>
  </w:num>
  <w:num w:numId="12" w16cid:durableId="1071851965">
    <w:abstractNumId w:val="3"/>
  </w:num>
  <w:num w:numId="13" w16cid:durableId="45031743">
    <w:abstractNumId w:val="38"/>
  </w:num>
  <w:num w:numId="14" w16cid:durableId="923151108">
    <w:abstractNumId w:val="25"/>
  </w:num>
  <w:num w:numId="15" w16cid:durableId="1677656632">
    <w:abstractNumId w:val="27"/>
  </w:num>
  <w:num w:numId="16" w16cid:durableId="1524171453">
    <w:abstractNumId w:val="33"/>
  </w:num>
  <w:num w:numId="17" w16cid:durableId="1143037643">
    <w:abstractNumId w:val="18"/>
  </w:num>
  <w:num w:numId="18" w16cid:durableId="1255624653">
    <w:abstractNumId w:val="37"/>
  </w:num>
  <w:num w:numId="19" w16cid:durableId="935820241">
    <w:abstractNumId w:val="24"/>
  </w:num>
  <w:num w:numId="20" w16cid:durableId="1699620521">
    <w:abstractNumId w:val="11"/>
  </w:num>
  <w:num w:numId="21" w16cid:durableId="1224635147">
    <w:abstractNumId w:val="13"/>
  </w:num>
  <w:num w:numId="22" w16cid:durableId="1044795884">
    <w:abstractNumId w:val="28"/>
  </w:num>
  <w:num w:numId="23" w16cid:durableId="143547033">
    <w:abstractNumId w:val="23"/>
  </w:num>
  <w:num w:numId="24" w16cid:durableId="1907376213">
    <w:abstractNumId w:val="7"/>
  </w:num>
  <w:num w:numId="25" w16cid:durableId="1221866607">
    <w:abstractNumId w:val="17"/>
  </w:num>
  <w:num w:numId="26" w16cid:durableId="950748769">
    <w:abstractNumId w:val="29"/>
  </w:num>
  <w:num w:numId="27" w16cid:durableId="91744758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82254276">
    <w:abstractNumId w:val="10"/>
  </w:num>
  <w:num w:numId="29" w16cid:durableId="1329400855">
    <w:abstractNumId w:val="32"/>
  </w:num>
  <w:num w:numId="30" w16cid:durableId="191387077">
    <w:abstractNumId w:val="19"/>
  </w:num>
  <w:num w:numId="31" w16cid:durableId="1052079477">
    <w:abstractNumId w:val="26"/>
  </w:num>
  <w:num w:numId="32" w16cid:durableId="1837963491">
    <w:abstractNumId w:val="34"/>
  </w:num>
  <w:num w:numId="33" w16cid:durableId="58746262">
    <w:abstractNumId w:val="21"/>
  </w:num>
  <w:num w:numId="34" w16cid:durableId="1872649592">
    <w:abstractNumId w:val="14"/>
  </w:num>
  <w:num w:numId="35" w16cid:durableId="2131241981">
    <w:abstractNumId w:val="5"/>
  </w:num>
  <w:num w:numId="36" w16cid:durableId="18315946">
    <w:abstractNumId w:val="31"/>
  </w:num>
  <w:num w:numId="37" w16cid:durableId="333848485">
    <w:abstractNumId w:val="36"/>
  </w:num>
  <w:num w:numId="38" w16cid:durableId="335351473">
    <w:abstractNumId w:val="6"/>
  </w:num>
  <w:num w:numId="39" w16cid:durableId="138144139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wyWHGm48fdP2KqtpZS+YpV0UjBRrOCkWgg6l+Fg3TZCLckN57ab6ll7xNXquQsdxz2fg4Vhp2ixS4Ry/DBnA7g==" w:salt="5D9YqYBRY6eyNFUK0yDgM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AEA"/>
    <w:rsid w:val="00000A0B"/>
    <w:rsid w:val="00004F99"/>
    <w:rsid w:val="000072B5"/>
    <w:rsid w:val="00010FF1"/>
    <w:rsid w:val="0001227C"/>
    <w:rsid w:val="00014DAB"/>
    <w:rsid w:val="00015AA2"/>
    <w:rsid w:val="0001781F"/>
    <w:rsid w:val="00024F5C"/>
    <w:rsid w:val="00026785"/>
    <w:rsid w:val="0003119F"/>
    <w:rsid w:val="000311DD"/>
    <w:rsid w:val="0003327B"/>
    <w:rsid w:val="0003732B"/>
    <w:rsid w:val="0004168C"/>
    <w:rsid w:val="00045F4F"/>
    <w:rsid w:val="00046411"/>
    <w:rsid w:val="00052133"/>
    <w:rsid w:val="00052DE7"/>
    <w:rsid w:val="00053194"/>
    <w:rsid w:val="00053E85"/>
    <w:rsid w:val="00054744"/>
    <w:rsid w:val="00054BFF"/>
    <w:rsid w:val="00056474"/>
    <w:rsid w:val="00057CA7"/>
    <w:rsid w:val="00057E7E"/>
    <w:rsid w:val="000702DD"/>
    <w:rsid w:val="000706B4"/>
    <w:rsid w:val="00070D3E"/>
    <w:rsid w:val="00072E28"/>
    <w:rsid w:val="00072FDA"/>
    <w:rsid w:val="00073870"/>
    <w:rsid w:val="0007513F"/>
    <w:rsid w:val="00076342"/>
    <w:rsid w:val="0007713B"/>
    <w:rsid w:val="00077983"/>
    <w:rsid w:val="00084A40"/>
    <w:rsid w:val="0008510B"/>
    <w:rsid w:val="00085933"/>
    <w:rsid w:val="0008650E"/>
    <w:rsid w:val="00091933"/>
    <w:rsid w:val="00092EFD"/>
    <w:rsid w:val="00093323"/>
    <w:rsid w:val="000961E9"/>
    <w:rsid w:val="00096261"/>
    <w:rsid w:val="000A3332"/>
    <w:rsid w:val="000A3647"/>
    <w:rsid w:val="000A3DA4"/>
    <w:rsid w:val="000A5308"/>
    <w:rsid w:val="000A7940"/>
    <w:rsid w:val="000B27B2"/>
    <w:rsid w:val="000B3632"/>
    <w:rsid w:val="000B4B42"/>
    <w:rsid w:val="000B4E90"/>
    <w:rsid w:val="000C0405"/>
    <w:rsid w:val="000C30C3"/>
    <w:rsid w:val="000C3447"/>
    <w:rsid w:val="000C4889"/>
    <w:rsid w:val="000C5AAD"/>
    <w:rsid w:val="000C5BBE"/>
    <w:rsid w:val="000C75B1"/>
    <w:rsid w:val="000D07EF"/>
    <w:rsid w:val="000D2491"/>
    <w:rsid w:val="000D3E97"/>
    <w:rsid w:val="000D5983"/>
    <w:rsid w:val="000E3571"/>
    <w:rsid w:val="000E4196"/>
    <w:rsid w:val="000E4DBB"/>
    <w:rsid w:val="000E542D"/>
    <w:rsid w:val="000F5404"/>
    <w:rsid w:val="000F77D0"/>
    <w:rsid w:val="000F77D5"/>
    <w:rsid w:val="001020EB"/>
    <w:rsid w:val="0010761E"/>
    <w:rsid w:val="00110A37"/>
    <w:rsid w:val="00112684"/>
    <w:rsid w:val="001129A0"/>
    <w:rsid w:val="00112D9F"/>
    <w:rsid w:val="0011401C"/>
    <w:rsid w:val="00115DC6"/>
    <w:rsid w:val="00121613"/>
    <w:rsid w:val="00122210"/>
    <w:rsid w:val="001238CD"/>
    <w:rsid w:val="00123DFF"/>
    <w:rsid w:val="001245E7"/>
    <w:rsid w:val="00125CD9"/>
    <w:rsid w:val="00126355"/>
    <w:rsid w:val="001270FE"/>
    <w:rsid w:val="0013312E"/>
    <w:rsid w:val="00134C32"/>
    <w:rsid w:val="0013606C"/>
    <w:rsid w:val="00136D21"/>
    <w:rsid w:val="00140302"/>
    <w:rsid w:val="001404F0"/>
    <w:rsid w:val="0014357B"/>
    <w:rsid w:val="001437DF"/>
    <w:rsid w:val="00144608"/>
    <w:rsid w:val="00150EE5"/>
    <w:rsid w:val="00153664"/>
    <w:rsid w:val="00153D55"/>
    <w:rsid w:val="001545F4"/>
    <w:rsid w:val="00154680"/>
    <w:rsid w:val="00161D20"/>
    <w:rsid w:val="00161F90"/>
    <w:rsid w:val="00163FC2"/>
    <w:rsid w:val="001673EF"/>
    <w:rsid w:val="00170E8F"/>
    <w:rsid w:val="00177C30"/>
    <w:rsid w:val="00180506"/>
    <w:rsid w:val="0018085B"/>
    <w:rsid w:val="00182221"/>
    <w:rsid w:val="0018294D"/>
    <w:rsid w:val="00184010"/>
    <w:rsid w:val="00186A8C"/>
    <w:rsid w:val="00187348"/>
    <w:rsid w:val="00187550"/>
    <w:rsid w:val="00187B67"/>
    <w:rsid w:val="00187FC1"/>
    <w:rsid w:val="00190D38"/>
    <w:rsid w:val="001921C6"/>
    <w:rsid w:val="0019352F"/>
    <w:rsid w:val="001939B0"/>
    <w:rsid w:val="00195134"/>
    <w:rsid w:val="00195D2D"/>
    <w:rsid w:val="00197442"/>
    <w:rsid w:val="001A2C7E"/>
    <w:rsid w:val="001A336C"/>
    <w:rsid w:val="001A41AD"/>
    <w:rsid w:val="001A476E"/>
    <w:rsid w:val="001A62DF"/>
    <w:rsid w:val="001A6724"/>
    <w:rsid w:val="001B278A"/>
    <w:rsid w:val="001B32F3"/>
    <w:rsid w:val="001B530D"/>
    <w:rsid w:val="001B6EEB"/>
    <w:rsid w:val="001C0D8B"/>
    <w:rsid w:val="001C421C"/>
    <w:rsid w:val="001C5853"/>
    <w:rsid w:val="001C6CEA"/>
    <w:rsid w:val="001C7B1B"/>
    <w:rsid w:val="001D084D"/>
    <w:rsid w:val="001D21E2"/>
    <w:rsid w:val="001D3C36"/>
    <w:rsid w:val="001E1910"/>
    <w:rsid w:val="001E196A"/>
    <w:rsid w:val="001E2047"/>
    <w:rsid w:val="001E470E"/>
    <w:rsid w:val="001E5161"/>
    <w:rsid w:val="001E66F0"/>
    <w:rsid w:val="001E7A2D"/>
    <w:rsid w:val="001F0472"/>
    <w:rsid w:val="001F2265"/>
    <w:rsid w:val="001F2787"/>
    <w:rsid w:val="001F4BB0"/>
    <w:rsid w:val="001F6D79"/>
    <w:rsid w:val="00200BE2"/>
    <w:rsid w:val="002015E4"/>
    <w:rsid w:val="00204494"/>
    <w:rsid w:val="00204C27"/>
    <w:rsid w:val="00204C5C"/>
    <w:rsid w:val="00207E42"/>
    <w:rsid w:val="00211234"/>
    <w:rsid w:val="00212E09"/>
    <w:rsid w:val="002132A3"/>
    <w:rsid w:val="00213C61"/>
    <w:rsid w:val="002171EE"/>
    <w:rsid w:val="00220622"/>
    <w:rsid w:val="002209DC"/>
    <w:rsid w:val="002239A3"/>
    <w:rsid w:val="00223A79"/>
    <w:rsid w:val="002254A3"/>
    <w:rsid w:val="00227435"/>
    <w:rsid w:val="00227C00"/>
    <w:rsid w:val="0023214D"/>
    <w:rsid w:val="0023680B"/>
    <w:rsid w:val="002422D0"/>
    <w:rsid w:val="0024390B"/>
    <w:rsid w:val="00244DCC"/>
    <w:rsid w:val="00245003"/>
    <w:rsid w:val="002455CA"/>
    <w:rsid w:val="0024583C"/>
    <w:rsid w:val="00251002"/>
    <w:rsid w:val="00256832"/>
    <w:rsid w:val="002651E1"/>
    <w:rsid w:val="00265C61"/>
    <w:rsid w:val="00265F7E"/>
    <w:rsid w:val="00267B4C"/>
    <w:rsid w:val="00270FAA"/>
    <w:rsid w:val="00271D00"/>
    <w:rsid w:val="0027344E"/>
    <w:rsid w:val="002750D5"/>
    <w:rsid w:val="00280A43"/>
    <w:rsid w:val="00281898"/>
    <w:rsid w:val="00282051"/>
    <w:rsid w:val="00286C88"/>
    <w:rsid w:val="00287982"/>
    <w:rsid w:val="00292034"/>
    <w:rsid w:val="00292C7C"/>
    <w:rsid w:val="00293367"/>
    <w:rsid w:val="00297320"/>
    <w:rsid w:val="00297B9D"/>
    <w:rsid w:val="002A105A"/>
    <w:rsid w:val="002A3925"/>
    <w:rsid w:val="002A4D59"/>
    <w:rsid w:val="002A56BF"/>
    <w:rsid w:val="002A6048"/>
    <w:rsid w:val="002A676B"/>
    <w:rsid w:val="002B56C7"/>
    <w:rsid w:val="002B6AB7"/>
    <w:rsid w:val="002C1807"/>
    <w:rsid w:val="002C1B72"/>
    <w:rsid w:val="002C2494"/>
    <w:rsid w:val="002C41F7"/>
    <w:rsid w:val="002C616D"/>
    <w:rsid w:val="002C6E4A"/>
    <w:rsid w:val="002D07EF"/>
    <w:rsid w:val="002D07F4"/>
    <w:rsid w:val="002D18B6"/>
    <w:rsid w:val="002D224E"/>
    <w:rsid w:val="002D42B3"/>
    <w:rsid w:val="002D5361"/>
    <w:rsid w:val="002D7ED8"/>
    <w:rsid w:val="002E05F6"/>
    <w:rsid w:val="002E1BB9"/>
    <w:rsid w:val="002E457F"/>
    <w:rsid w:val="002E5852"/>
    <w:rsid w:val="002E64A1"/>
    <w:rsid w:val="002E68F1"/>
    <w:rsid w:val="002E7E9B"/>
    <w:rsid w:val="002F02F2"/>
    <w:rsid w:val="002F3359"/>
    <w:rsid w:val="002F58D0"/>
    <w:rsid w:val="002F7C71"/>
    <w:rsid w:val="00300271"/>
    <w:rsid w:val="003007D1"/>
    <w:rsid w:val="003041C7"/>
    <w:rsid w:val="003050F7"/>
    <w:rsid w:val="00305EEF"/>
    <w:rsid w:val="00306767"/>
    <w:rsid w:val="00306D17"/>
    <w:rsid w:val="00307D97"/>
    <w:rsid w:val="00315BE2"/>
    <w:rsid w:val="003161CD"/>
    <w:rsid w:val="00316DAF"/>
    <w:rsid w:val="00316DD9"/>
    <w:rsid w:val="00317C10"/>
    <w:rsid w:val="00320A64"/>
    <w:rsid w:val="00320E67"/>
    <w:rsid w:val="0032340E"/>
    <w:rsid w:val="00323D98"/>
    <w:rsid w:val="00323EE1"/>
    <w:rsid w:val="003243C5"/>
    <w:rsid w:val="003267C7"/>
    <w:rsid w:val="00326A47"/>
    <w:rsid w:val="00333661"/>
    <w:rsid w:val="00335479"/>
    <w:rsid w:val="00343BA3"/>
    <w:rsid w:val="00350070"/>
    <w:rsid w:val="003513E6"/>
    <w:rsid w:val="0035278C"/>
    <w:rsid w:val="003552A1"/>
    <w:rsid w:val="003552BF"/>
    <w:rsid w:val="0035658A"/>
    <w:rsid w:val="00360452"/>
    <w:rsid w:val="0036487B"/>
    <w:rsid w:val="00365138"/>
    <w:rsid w:val="00366FFD"/>
    <w:rsid w:val="003705E7"/>
    <w:rsid w:val="0037237F"/>
    <w:rsid w:val="00373841"/>
    <w:rsid w:val="00373F35"/>
    <w:rsid w:val="00375112"/>
    <w:rsid w:val="003753C1"/>
    <w:rsid w:val="003767BB"/>
    <w:rsid w:val="00380AB4"/>
    <w:rsid w:val="003826F8"/>
    <w:rsid w:val="003833FD"/>
    <w:rsid w:val="0038490E"/>
    <w:rsid w:val="00384A74"/>
    <w:rsid w:val="003868E5"/>
    <w:rsid w:val="00387C3B"/>
    <w:rsid w:val="00387D9A"/>
    <w:rsid w:val="00387FF8"/>
    <w:rsid w:val="0039172F"/>
    <w:rsid w:val="00391B52"/>
    <w:rsid w:val="00391DB5"/>
    <w:rsid w:val="00391E42"/>
    <w:rsid w:val="0039551B"/>
    <w:rsid w:val="003962A6"/>
    <w:rsid w:val="003979D6"/>
    <w:rsid w:val="003A19C3"/>
    <w:rsid w:val="003A6419"/>
    <w:rsid w:val="003A741C"/>
    <w:rsid w:val="003A7672"/>
    <w:rsid w:val="003B1086"/>
    <w:rsid w:val="003B2437"/>
    <w:rsid w:val="003B2A6A"/>
    <w:rsid w:val="003B3AE3"/>
    <w:rsid w:val="003B4221"/>
    <w:rsid w:val="003B6156"/>
    <w:rsid w:val="003B7850"/>
    <w:rsid w:val="003B7906"/>
    <w:rsid w:val="003C03FF"/>
    <w:rsid w:val="003C14FB"/>
    <w:rsid w:val="003C2A2D"/>
    <w:rsid w:val="003C3833"/>
    <w:rsid w:val="003C5A82"/>
    <w:rsid w:val="003D20B0"/>
    <w:rsid w:val="003D3C39"/>
    <w:rsid w:val="003D4AFE"/>
    <w:rsid w:val="003E0D1C"/>
    <w:rsid w:val="003E416C"/>
    <w:rsid w:val="003F3F24"/>
    <w:rsid w:val="003F67F6"/>
    <w:rsid w:val="00403A0A"/>
    <w:rsid w:val="004047FC"/>
    <w:rsid w:val="004137B3"/>
    <w:rsid w:val="004139C8"/>
    <w:rsid w:val="004147FE"/>
    <w:rsid w:val="004148CB"/>
    <w:rsid w:val="004154AB"/>
    <w:rsid w:val="00415D18"/>
    <w:rsid w:val="004168B4"/>
    <w:rsid w:val="00417C68"/>
    <w:rsid w:val="004202BD"/>
    <w:rsid w:val="0042067E"/>
    <w:rsid w:val="00420E2E"/>
    <w:rsid w:val="00421070"/>
    <w:rsid w:val="00424F94"/>
    <w:rsid w:val="00427CF5"/>
    <w:rsid w:val="00434621"/>
    <w:rsid w:val="00434A64"/>
    <w:rsid w:val="0043514E"/>
    <w:rsid w:val="00442DEA"/>
    <w:rsid w:val="004437E8"/>
    <w:rsid w:val="00443960"/>
    <w:rsid w:val="00444496"/>
    <w:rsid w:val="004504E3"/>
    <w:rsid w:val="0045067E"/>
    <w:rsid w:val="0045621D"/>
    <w:rsid w:val="00456EE4"/>
    <w:rsid w:val="00456F1E"/>
    <w:rsid w:val="00463640"/>
    <w:rsid w:val="00463F54"/>
    <w:rsid w:val="00464BEF"/>
    <w:rsid w:val="00465F94"/>
    <w:rsid w:val="004671FD"/>
    <w:rsid w:val="0047344A"/>
    <w:rsid w:val="00473E48"/>
    <w:rsid w:val="004819D6"/>
    <w:rsid w:val="00485522"/>
    <w:rsid w:val="004902CA"/>
    <w:rsid w:val="00490ECF"/>
    <w:rsid w:val="00491C73"/>
    <w:rsid w:val="00496A63"/>
    <w:rsid w:val="004A00B8"/>
    <w:rsid w:val="004A0489"/>
    <w:rsid w:val="004A2634"/>
    <w:rsid w:val="004A37A9"/>
    <w:rsid w:val="004A4323"/>
    <w:rsid w:val="004A65B9"/>
    <w:rsid w:val="004A7FC9"/>
    <w:rsid w:val="004B2149"/>
    <w:rsid w:val="004B7244"/>
    <w:rsid w:val="004C0D1E"/>
    <w:rsid w:val="004C1303"/>
    <w:rsid w:val="004C19B2"/>
    <w:rsid w:val="004C225A"/>
    <w:rsid w:val="004C35AA"/>
    <w:rsid w:val="004C75AA"/>
    <w:rsid w:val="004D087C"/>
    <w:rsid w:val="004D1FC5"/>
    <w:rsid w:val="004D2BDB"/>
    <w:rsid w:val="004D6275"/>
    <w:rsid w:val="004E1E0A"/>
    <w:rsid w:val="004E2075"/>
    <w:rsid w:val="004E32FE"/>
    <w:rsid w:val="004E6AF1"/>
    <w:rsid w:val="004E77CB"/>
    <w:rsid w:val="004F20AC"/>
    <w:rsid w:val="004F32C3"/>
    <w:rsid w:val="004F384F"/>
    <w:rsid w:val="004F51A5"/>
    <w:rsid w:val="004F55F3"/>
    <w:rsid w:val="005032F8"/>
    <w:rsid w:val="00506049"/>
    <w:rsid w:val="00506641"/>
    <w:rsid w:val="00510D4E"/>
    <w:rsid w:val="00511C10"/>
    <w:rsid w:val="00516745"/>
    <w:rsid w:val="00520B33"/>
    <w:rsid w:val="00520C44"/>
    <w:rsid w:val="00525A5A"/>
    <w:rsid w:val="00526D22"/>
    <w:rsid w:val="00531420"/>
    <w:rsid w:val="005317F1"/>
    <w:rsid w:val="00532210"/>
    <w:rsid w:val="0053261C"/>
    <w:rsid w:val="005340D6"/>
    <w:rsid w:val="00534AFC"/>
    <w:rsid w:val="00535348"/>
    <w:rsid w:val="00535E7D"/>
    <w:rsid w:val="00540108"/>
    <w:rsid w:val="005401A7"/>
    <w:rsid w:val="005433FD"/>
    <w:rsid w:val="00543991"/>
    <w:rsid w:val="00544C57"/>
    <w:rsid w:val="005455DE"/>
    <w:rsid w:val="00545FF7"/>
    <w:rsid w:val="0054637E"/>
    <w:rsid w:val="00547DBF"/>
    <w:rsid w:val="00550D4C"/>
    <w:rsid w:val="0055155F"/>
    <w:rsid w:val="00552FFE"/>
    <w:rsid w:val="00553895"/>
    <w:rsid w:val="00553B64"/>
    <w:rsid w:val="0055498B"/>
    <w:rsid w:val="00555B12"/>
    <w:rsid w:val="005572BF"/>
    <w:rsid w:val="00560361"/>
    <w:rsid w:val="00562760"/>
    <w:rsid w:val="005632FD"/>
    <w:rsid w:val="00563B50"/>
    <w:rsid w:val="005641A1"/>
    <w:rsid w:val="005642BA"/>
    <w:rsid w:val="00570CDA"/>
    <w:rsid w:val="005734EC"/>
    <w:rsid w:val="00582942"/>
    <w:rsid w:val="00584C04"/>
    <w:rsid w:val="00586025"/>
    <w:rsid w:val="00595FED"/>
    <w:rsid w:val="005966CE"/>
    <w:rsid w:val="005A2D25"/>
    <w:rsid w:val="005A2E9F"/>
    <w:rsid w:val="005A4234"/>
    <w:rsid w:val="005A77B6"/>
    <w:rsid w:val="005B2875"/>
    <w:rsid w:val="005B352D"/>
    <w:rsid w:val="005B6076"/>
    <w:rsid w:val="005B6B71"/>
    <w:rsid w:val="005B7CBC"/>
    <w:rsid w:val="005C03A9"/>
    <w:rsid w:val="005C153F"/>
    <w:rsid w:val="005C262D"/>
    <w:rsid w:val="005C3B5E"/>
    <w:rsid w:val="005C47D3"/>
    <w:rsid w:val="005C5763"/>
    <w:rsid w:val="005C7D31"/>
    <w:rsid w:val="005D14ED"/>
    <w:rsid w:val="005D5B50"/>
    <w:rsid w:val="005D78AE"/>
    <w:rsid w:val="005E1183"/>
    <w:rsid w:val="005E206A"/>
    <w:rsid w:val="005E2754"/>
    <w:rsid w:val="005E34F7"/>
    <w:rsid w:val="005E4B77"/>
    <w:rsid w:val="005E4CB9"/>
    <w:rsid w:val="005E56F9"/>
    <w:rsid w:val="005E74C9"/>
    <w:rsid w:val="005F2475"/>
    <w:rsid w:val="005F29E1"/>
    <w:rsid w:val="005F34D4"/>
    <w:rsid w:val="005F358E"/>
    <w:rsid w:val="005F3CCC"/>
    <w:rsid w:val="005F49C0"/>
    <w:rsid w:val="005F71B2"/>
    <w:rsid w:val="0060367E"/>
    <w:rsid w:val="00605B92"/>
    <w:rsid w:val="00606F20"/>
    <w:rsid w:val="00607A49"/>
    <w:rsid w:val="006112A5"/>
    <w:rsid w:val="00611336"/>
    <w:rsid w:val="006116BE"/>
    <w:rsid w:val="006136E7"/>
    <w:rsid w:val="00615A12"/>
    <w:rsid w:val="00615A44"/>
    <w:rsid w:val="00617339"/>
    <w:rsid w:val="00620B4B"/>
    <w:rsid w:val="0062249E"/>
    <w:rsid w:val="0062393B"/>
    <w:rsid w:val="006247C3"/>
    <w:rsid w:val="006249B3"/>
    <w:rsid w:val="006266A3"/>
    <w:rsid w:val="00626CDB"/>
    <w:rsid w:val="0063185C"/>
    <w:rsid w:val="00631E9B"/>
    <w:rsid w:val="0063281B"/>
    <w:rsid w:val="0063325A"/>
    <w:rsid w:val="00633810"/>
    <w:rsid w:val="00641B3A"/>
    <w:rsid w:val="006451C9"/>
    <w:rsid w:val="00645AC7"/>
    <w:rsid w:val="00647C45"/>
    <w:rsid w:val="00650F04"/>
    <w:rsid w:val="00652356"/>
    <w:rsid w:val="00653151"/>
    <w:rsid w:val="00653E0E"/>
    <w:rsid w:val="00653F3C"/>
    <w:rsid w:val="006545E9"/>
    <w:rsid w:val="006556C9"/>
    <w:rsid w:val="00656487"/>
    <w:rsid w:val="006576C4"/>
    <w:rsid w:val="00657A45"/>
    <w:rsid w:val="006631BB"/>
    <w:rsid w:val="006671C8"/>
    <w:rsid w:val="00673D76"/>
    <w:rsid w:val="00674C27"/>
    <w:rsid w:val="00675B34"/>
    <w:rsid w:val="00675CA3"/>
    <w:rsid w:val="00676D51"/>
    <w:rsid w:val="00680424"/>
    <w:rsid w:val="00680966"/>
    <w:rsid w:val="00682F8F"/>
    <w:rsid w:val="00682FCB"/>
    <w:rsid w:val="006857E1"/>
    <w:rsid w:val="00691E90"/>
    <w:rsid w:val="006944CA"/>
    <w:rsid w:val="0069462A"/>
    <w:rsid w:val="0069596F"/>
    <w:rsid w:val="006A0947"/>
    <w:rsid w:val="006A25FA"/>
    <w:rsid w:val="006A77E6"/>
    <w:rsid w:val="006A7846"/>
    <w:rsid w:val="006A7AF3"/>
    <w:rsid w:val="006B3425"/>
    <w:rsid w:val="006B44E3"/>
    <w:rsid w:val="006B5E78"/>
    <w:rsid w:val="006B663B"/>
    <w:rsid w:val="006B7A59"/>
    <w:rsid w:val="006B7F75"/>
    <w:rsid w:val="006C15AB"/>
    <w:rsid w:val="006D016F"/>
    <w:rsid w:val="006D1399"/>
    <w:rsid w:val="006D3B84"/>
    <w:rsid w:val="006E5E6A"/>
    <w:rsid w:val="006E6438"/>
    <w:rsid w:val="006E798F"/>
    <w:rsid w:val="006F00FC"/>
    <w:rsid w:val="006F4C25"/>
    <w:rsid w:val="006F599D"/>
    <w:rsid w:val="006F6DF3"/>
    <w:rsid w:val="006F7706"/>
    <w:rsid w:val="0070144E"/>
    <w:rsid w:val="00704E94"/>
    <w:rsid w:val="00704F71"/>
    <w:rsid w:val="007065B7"/>
    <w:rsid w:val="00707C17"/>
    <w:rsid w:val="007125C6"/>
    <w:rsid w:val="00712924"/>
    <w:rsid w:val="00715778"/>
    <w:rsid w:val="007157C7"/>
    <w:rsid w:val="00716947"/>
    <w:rsid w:val="00717C14"/>
    <w:rsid w:val="00724AE0"/>
    <w:rsid w:val="00724C6F"/>
    <w:rsid w:val="0072636D"/>
    <w:rsid w:val="00727A0D"/>
    <w:rsid w:val="0073384A"/>
    <w:rsid w:val="00737867"/>
    <w:rsid w:val="00740DB0"/>
    <w:rsid w:val="007425E5"/>
    <w:rsid w:val="0074287C"/>
    <w:rsid w:val="007442C1"/>
    <w:rsid w:val="00744ABE"/>
    <w:rsid w:val="00746B16"/>
    <w:rsid w:val="007470EB"/>
    <w:rsid w:val="00747DCD"/>
    <w:rsid w:val="00751669"/>
    <w:rsid w:val="00751D0E"/>
    <w:rsid w:val="00752F22"/>
    <w:rsid w:val="00753677"/>
    <w:rsid w:val="00756713"/>
    <w:rsid w:val="007604B9"/>
    <w:rsid w:val="00765923"/>
    <w:rsid w:val="007670F6"/>
    <w:rsid w:val="0077240A"/>
    <w:rsid w:val="00773ACE"/>
    <w:rsid w:val="00776A17"/>
    <w:rsid w:val="00776E8B"/>
    <w:rsid w:val="007815E9"/>
    <w:rsid w:val="00782359"/>
    <w:rsid w:val="00782768"/>
    <w:rsid w:val="00783646"/>
    <w:rsid w:val="007855DB"/>
    <w:rsid w:val="00786449"/>
    <w:rsid w:val="0078740E"/>
    <w:rsid w:val="00792147"/>
    <w:rsid w:val="00793BEB"/>
    <w:rsid w:val="0079572F"/>
    <w:rsid w:val="00795C12"/>
    <w:rsid w:val="007A2CA0"/>
    <w:rsid w:val="007A4146"/>
    <w:rsid w:val="007A4F8A"/>
    <w:rsid w:val="007A6170"/>
    <w:rsid w:val="007A784D"/>
    <w:rsid w:val="007B0275"/>
    <w:rsid w:val="007B1BF5"/>
    <w:rsid w:val="007B3149"/>
    <w:rsid w:val="007B431D"/>
    <w:rsid w:val="007B605F"/>
    <w:rsid w:val="007B7986"/>
    <w:rsid w:val="007C216D"/>
    <w:rsid w:val="007C7127"/>
    <w:rsid w:val="007C747E"/>
    <w:rsid w:val="007C7BDE"/>
    <w:rsid w:val="007D0377"/>
    <w:rsid w:val="007D0620"/>
    <w:rsid w:val="007D2873"/>
    <w:rsid w:val="007D2C3D"/>
    <w:rsid w:val="007D6A6E"/>
    <w:rsid w:val="007E0B97"/>
    <w:rsid w:val="007F0F06"/>
    <w:rsid w:val="007F63F7"/>
    <w:rsid w:val="007F6F89"/>
    <w:rsid w:val="007F7AA9"/>
    <w:rsid w:val="00801965"/>
    <w:rsid w:val="00802074"/>
    <w:rsid w:val="00803B15"/>
    <w:rsid w:val="00803FAC"/>
    <w:rsid w:val="0080727E"/>
    <w:rsid w:val="00807E88"/>
    <w:rsid w:val="0081058A"/>
    <w:rsid w:val="00810966"/>
    <w:rsid w:val="00810F00"/>
    <w:rsid w:val="008122CE"/>
    <w:rsid w:val="0081313E"/>
    <w:rsid w:val="00814948"/>
    <w:rsid w:val="00815063"/>
    <w:rsid w:val="00815849"/>
    <w:rsid w:val="0081591B"/>
    <w:rsid w:val="00820547"/>
    <w:rsid w:val="00820B8E"/>
    <w:rsid w:val="00820E4E"/>
    <w:rsid w:val="008259F0"/>
    <w:rsid w:val="00827FF7"/>
    <w:rsid w:val="008301AE"/>
    <w:rsid w:val="00830FC7"/>
    <w:rsid w:val="0083174B"/>
    <w:rsid w:val="0083288B"/>
    <w:rsid w:val="00834912"/>
    <w:rsid w:val="00835938"/>
    <w:rsid w:val="008363FF"/>
    <w:rsid w:val="00836514"/>
    <w:rsid w:val="00837A88"/>
    <w:rsid w:val="00841106"/>
    <w:rsid w:val="0084574B"/>
    <w:rsid w:val="0085200B"/>
    <w:rsid w:val="0085497F"/>
    <w:rsid w:val="008549D4"/>
    <w:rsid w:val="00857202"/>
    <w:rsid w:val="00857775"/>
    <w:rsid w:val="00863BBD"/>
    <w:rsid w:val="00865D5E"/>
    <w:rsid w:val="008665B6"/>
    <w:rsid w:val="00867E1B"/>
    <w:rsid w:val="00872D2A"/>
    <w:rsid w:val="008746BA"/>
    <w:rsid w:val="0087618A"/>
    <w:rsid w:val="00876811"/>
    <w:rsid w:val="00877600"/>
    <w:rsid w:val="00877F2C"/>
    <w:rsid w:val="0088042D"/>
    <w:rsid w:val="00882B60"/>
    <w:rsid w:val="00890F75"/>
    <w:rsid w:val="008918F6"/>
    <w:rsid w:val="00893F18"/>
    <w:rsid w:val="008954AE"/>
    <w:rsid w:val="008971C3"/>
    <w:rsid w:val="008A0132"/>
    <w:rsid w:val="008A67E9"/>
    <w:rsid w:val="008A7192"/>
    <w:rsid w:val="008B0408"/>
    <w:rsid w:val="008B3748"/>
    <w:rsid w:val="008B3806"/>
    <w:rsid w:val="008B410B"/>
    <w:rsid w:val="008B4736"/>
    <w:rsid w:val="008B4F15"/>
    <w:rsid w:val="008B7929"/>
    <w:rsid w:val="008C08F9"/>
    <w:rsid w:val="008C0A4B"/>
    <w:rsid w:val="008C3A79"/>
    <w:rsid w:val="008C3DD5"/>
    <w:rsid w:val="008C5D4B"/>
    <w:rsid w:val="008D192E"/>
    <w:rsid w:val="008D31BF"/>
    <w:rsid w:val="008D401A"/>
    <w:rsid w:val="008D4CA1"/>
    <w:rsid w:val="008D6631"/>
    <w:rsid w:val="008D79C8"/>
    <w:rsid w:val="008E1F18"/>
    <w:rsid w:val="008E2F4F"/>
    <w:rsid w:val="008E36CF"/>
    <w:rsid w:val="008F1498"/>
    <w:rsid w:val="008F1AC6"/>
    <w:rsid w:val="008F1CAB"/>
    <w:rsid w:val="008F267A"/>
    <w:rsid w:val="008F27AF"/>
    <w:rsid w:val="008F4206"/>
    <w:rsid w:val="008F563E"/>
    <w:rsid w:val="009038F0"/>
    <w:rsid w:val="00905C87"/>
    <w:rsid w:val="009114C2"/>
    <w:rsid w:val="00911E4A"/>
    <w:rsid w:val="00913BD0"/>
    <w:rsid w:val="00915C53"/>
    <w:rsid w:val="00917F6C"/>
    <w:rsid w:val="0092088F"/>
    <w:rsid w:val="00924DCE"/>
    <w:rsid w:val="00925886"/>
    <w:rsid w:val="00926C8C"/>
    <w:rsid w:val="0092716A"/>
    <w:rsid w:val="0093011D"/>
    <w:rsid w:val="00932437"/>
    <w:rsid w:val="009342E1"/>
    <w:rsid w:val="0093442B"/>
    <w:rsid w:val="00940491"/>
    <w:rsid w:val="0094598A"/>
    <w:rsid w:val="00947CD3"/>
    <w:rsid w:val="0095049F"/>
    <w:rsid w:val="00951EDE"/>
    <w:rsid w:val="00953002"/>
    <w:rsid w:val="00955095"/>
    <w:rsid w:val="009628C4"/>
    <w:rsid w:val="00964060"/>
    <w:rsid w:val="009657F8"/>
    <w:rsid w:val="009702F4"/>
    <w:rsid w:val="0097256B"/>
    <w:rsid w:val="00976143"/>
    <w:rsid w:val="00977D35"/>
    <w:rsid w:val="009804BB"/>
    <w:rsid w:val="00981397"/>
    <w:rsid w:val="00981B37"/>
    <w:rsid w:val="009825BD"/>
    <w:rsid w:val="00982975"/>
    <w:rsid w:val="00983CB9"/>
    <w:rsid w:val="00984A76"/>
    <w:rsid w:val="00986BC8"/>
    <w:rsid w:val="00992101"/>
    <w:rsid w:val="009926CB"/>
    <w:rsid w:val="00992A9E"/>
    <w:rsid w:val="009934AA"/>
    <w:rsid w:val="00993C34"/>
    <w:rsid w:val="00996515"/>
    <w:rsid w:val="009975CC"/>
    <w:rsid w:val="009A0080"/>
    <w:rsid w:val="009A018E"/>
    <w:rsid w:val="009B027D"/>
    <w:rsid w:val="009B0D62"/>
    <w:rsid w:val="009B4BFA"/>
    <w:rsid w:val="009C1D26"/>
    <w:rsid w:val="009C2400"/>
    <w:rsid w:val="009C4605"/>
    <w:rsid w:val="009C4C59"/>
    <w:rsid w:val="009C55F1"/>
    <w:rsid w:val="009C75F6"/>
    <w:rsid w:val="009D0B4D"/>
    <w:rsid w:val="009D1F4C"/>
    <w:rsid w:val="009D200D"/>
    <w:rsid w:val="009D2D23"/>
    <w:rsid w:val="009D4217"/>
    <w:rsid w:val="009D477D"/>
    <w:rsid w:val="009D7033"/>
    <w:rsid w:val="009D72BA"/>
    <w:rsid w:val="009E100B"/>
    <w:rsid w:val="009E40F3"/>
    <w:rsid w:val="009E5E93"/>
    <w:rsid w:val="009E6042"/>
    <w:rsid w:val="009E6BB1"/>
    <w:rsid w:val="009F135E"/>
    <w:rsid w:val="009F2B8F"/>
    <w:rsid w:val="00A02654"/>
    <w:rsid w:val="00A049B9"/>
    <w:rsid w:val="00A0762A"/>
    <w:rsid w:val="00A076BD"/>
    <w:rsid w:val="00A113FA"/>
    <w:rsid w:val="00A12BF1"/>
    <w:rsid w:val="00A12D8C"/>
    <w:rsid w:val="00A136EB"/>
    <w:rsid w:val="00A141AB"/>
    <w:rsid w:val="00A16105"/>
    <w:rsid w:val="00A16898"/>
    <w:rsid w:val="00A17485"/>
    <w:rsid w:val="00A223DE"/>
    <w:rsid w:val="00A3189A"/>
    <w:rsid w:val="00A40DF7"/>
    <w:rsid w:val="00A43D06"/>
    <w:rsid w:val="00A45D08"/>
    <w:rsid w:val="00A50262"/>
    <w:rsid w:val="00A512D8"/>
    <w:rsid w:val="00A606DA"/>
    <w:rsid w:val="00A637BB"/>
    <w:rsid w:val="00A64869"/>
    <w:rsid w:val="00A64B61"/>
    <w:rsid w:val="00A65B84"/>
    <w:rsid w:val="00A70D01"/>
    <w:rsid w:val="00A710E5"/>
    <w:rsid w:val="00A71B4E"/>
    <w:rsid w:val="00A725BC"/>
    <w:rsid w:val="00A73376"/>
    <w:rsid w:val="00A75508"/>
    <w:rsid w:val="00A75B53"/>
    <w:rsid w:val="00A75DD7"/>
    <w:rsid w:val="00A76FA2"/>
    <w:rsid w:val="00A817AA"/>
    <w:rsid w:val="00A81E6A"/>
    <w:rsid w:val="00A843CF"/>
    <w:rsid w:val="00A86171"/>
    <w:rsid w:val="00A8694F"/>
    <w:rsid w:val="00A8696E"/>
    <w:rsid w:val="00A86F58"/>
    <w:rsid w:val="00A87E7E"/>
    <w:rsid w:val="00A90740"/>
    <w:rsid w:val="00A919B1"/>
    <w:rsid w:val="00A91DE4"/>
    <w:rsid w:val="00A93D92"/>
    <w:rsid w:val="00A946C7"/>
    <w:rsid w:val="00A94CD7"/>
    <w:rsid w:val="00A94DEF"/>
    <w:rsid w:val="00A9671B"/>
    <w:rsid w:val="00AA3859"/>
    <w:rsid w:val="00AA386D"/>
    <w:rsid w:val="00AA784F"/>
    <w:rsid w:val="00AB0E3F"/>
    <w:rsid w:val="00AB2101"/>
    <w:rsid w:val="00AB2444"/>
    <w:rsid w:val="00AB7C19"/>
    <w:rsid w:val="00AB7D5B"/>
    <w:rsid w:val="00AC008C"/>
    <w:rsid w:val="00AC01B2"/>
    <w:rsid w:val="00AC0536"/>
    <w:rsid w:val="00AC17F9"/>
    <w:rsid w:val="00AC36EF"/>
    <w:rsid w:val="00AC3B0A"/>
    <w:rsid w:val="00AC3FAD"/>
    <w:rsid w:val="00AC6453"/>
    <w:rsid w:val="00AD0B27"/>
    <w:rsid w:val="00AD0EC3"/>
    <w:rsid w:val="00AD26DD"/>
    <w:rsid w:val="00AD31A1"/>
    <w:rsid w:val="00AD525E"/>
    <w:rsid w:val="00AD680C"/>
    <w:rsid w:val="00AD6CCF"/>
    <w:rsid w:val="00AD7D52"/>
    <w:rsid w:val="00AE163D"/>
    <w:rsid w:val="00AE1C98"/>
    <w:rsid w:val="00AE3E68"/>
    <w:rsid w:val="00AE51A7"/>
    <w:rsid w:val="00AE7DD4"/>
    <w:rsid w:val="00AF0499"/>
    <w:rsid w:val="00AF5F15"/>
    <w:rsid w:val="00B01770"/>
    <w:rsid w:val="00B03376"/>
    <w:rsid w:val="00B036BE"/>
    <w:rsid w:val="00B10124"/>
    <w:rsid w:val="00B11ABB"/>
    <w:rsid w:val="00B15AF2"/>
    <w:rsid w:val="00B224E3"/>
    <w:rsid w:val="00B26220"/>
    <w:rsid w:val="00B30CA8"/>
    <w:rsid w:val="00B31C39"/>
    <w:rsid w:val="00B3456D"/>
    <w:rsid w:val="00B34CA6"/>
    <w:rsid w:val="00B401A8"/>
    <w:rsid w:val="00B422C7"/>
    <w:rsid w:val="00B4375C"/>
    <w:rsid w:val="00B45901"/>
    <w:rsid w:val="00B46117"/>
    <w:rsid w:val="00B475FC"/>
    <w:rsid w:val="00B47B09"/>
    <w:rsid w:val="00B47EF4"/>
    <w:rsid w:val="00B571CC"/>
    <w:rsid w:val="00B62DA3"/>
    <w:rsid w:val="00B62E59"/>
    <w:rsid w:val="00B734C1"/>
    <w:rsid w:val="00B736E9"/>
    <w:rsid w:val="00B73EF8"/>
    <w:rsid w:val="00B761A2"/>
    <w:rsid w:val="00B81E82"/>
    <w:rsid w:val="00B82416"/>
    <w:rsid w:val="00B84526"/>
    <w:rsid w:val="00B85E04"/>
    <w:rsid w:val="00B8691D"/>
    <w:rsid w:val="00B86B3E"/>
    <w:rsid w:val="00B87FD8"/>
    <w:rsid w:val="00B903E3"/>
    <w:rsid w:val="00B915AD"/>
    <w:rsid w:val="00B92000"/>
    <w:rsid w:val="00B94095"/>
    <w:rsid w:val="00B94733"/>
    <w:rsid w:val="00B95B00"/>
    <w:rsid w:val="00B96710"/>
    <w:rsid w:val="00B9704D"/>
    <w:rsid w:val="00BA1A18"/>
    <w:rsid w:val="00BA4567"/>
    <w:rsid w:val="00BA462A"/>
    <w:rsid w:val="00BA6934"/>
    <w:rsid w:val="00BB0D92"/>
    <w:rsid w:val="00BB288E"/>
    <w:rsid w:val="00BB4380"/>
    <w:rsid w:val="00BB51CC"/>
    <w:rsid w:val="00BB6720"/>
    <w:rsid w:val="00BB6789"/>
    <w:rsid w:val="00BB7F82"/>
    <w:rsid w:val="00BC29D2"/>
    <w:rsid w:val="00BC47C2"/>
    <w:rsid w:val="00BC643A"/>
    <w:rsid w:val="00BD15C6"/>
    <w:rsid w:val="00BD4540"/>
    <w:rsid w:val="00BD6038"/>
    <w:rsid w:val="00BD66E1"/>
    <w:rsid w:val="00BE2429"/>
    <w:rsid w:val="00BE2E69"/>
    <w:rsid w:val="00BE37EA"/>
    <w:rsid w:val="00BE429C"/>
    <w:rsid w:val="00BE5938"/>
    <w:rsid w:val="00BE67F7"/>
    <w:rsid w:val="00BF04DC"/>
    <w:rsid w:val="00BF43CB"/>
    <w:rsid w:val="00BF6715"/>
    <w:rsid w:val="00BF7E2D"/>
    <w:rsid w:val="00C00572"/>
    <w:rsid w:val="00C0213F"/>
    <w:rsid w:val="00C02E53"/>
    <w:rsid w:val="00C0463C"/>
    <w:rsid w:val="00C04D40"/>
    <w:rsid w:val="00C06801"/>
    <w:rsid w:val="00C074E2"/>
    <w:rsid w:val="00C10598"/>
    <w:rsid w:val="00C1161E"/>
    <w:rsid w:val="00C13034"/>
    <w:rsid w:val="00C14305"/>
    <w:rsid w:val="00C178B1"/>
    <w:rsid w:val="00C17A70"/>
    <w:rsid w:val="00C2296C"/>
    <w:rsid w:val="00C22DB3"/>
    <w:rsid w:val="00C22F62"/>
    <w:rsid w:val="00C24311"/>
    <w:rsid w:val="00C248FF"/>
    <w:rsid w:val="00C27713"/>
    <w:rsid w:val="00C300C5"/>
    <w:rsid w:val="00C303ED"/>
    <w:rsid w:val="00C3113F"/>
    <w:rsid w:val="00C33312"/>
    <w:rsid w:val="00C33DD7"/>
    <w:rsid w:val="00C33EBB"/>
    <w:rsid w:val="00C350AB"/>
    <w:rsid w:val="00C4220E"/>
    <w:rsid w:val="00C42948"/>
    <w:rsid w:val="00C46CE0"/>
    <w:rsid w:val="00C50ABC"/>
    <w:rsid w:val="00C50EEA"/>
    <w:rsid w:val="00C51A6E"/>
    <w:rsid w:val="00C52F99"/>
    <w:rsid w:val="00C53ECD"/>
    <w:rsid w:val="00C545D1"/>
    <w:rsid w:val="00C579F8"/>
    <w:rsid w:val="00C60B42"/>
    <w:rsid w:val="00C61A49"/>
    <w:rsid w:val="00C6253F"/>
    <w:rsid w:val="00C627E5"/>
    <w:rsid w:val="00C63198"/>
    <w:rsid w:val="00C63E0F"/>
    <w:rsid w:val="00C65BED"/>
    <w:rsid w:val="00C74A1D"/>
    <w:rsid w:val="00C74CB7"/>
    <w:rsid w:val="00C803FC"/>
    <w:rsid w:val="00C80DCD"/>
    <w:rsid w:val="00C81743"/>
    <w:rsid w:val="00C83684"/>
    <w:rsid w:val="00C83F21"/>
    <w:rsid w:val="00C84ED9"/>
    <w:rsid w:val="00C86AB1"/>
    <w:rsid w:val="00C90260"/>
    <w:rsid w:val="00C90676"/>
    <w:rsid w:val="00C90CFC"/>
    <w:rsid w:val="00C919FD"/>
    <w:rsid w:val="00C927EE"/>
    <w:rsid w:val="00C959A7"/>
    <w:rsid w:val="00C9688B"/>
    <w:rsid w:val="00C97B32"/>
    <w:rsid w:val="00CA199D"/>
    <w:rsid w:val="00CA3CA2"/>
    <w:rsid w:val="00CA4692"/>
    <w:rsid w:val="00CA75E2"/>
    <w:rsid w:val="00CB176A"/>
    <w:rsid w:val="00CB1E7A"/>
    <w:rsid w:val="00CB22EA"/>
    <w:rsid w:val="00CB7E0E"/>
    <w:rsid w:val="00CC289E"/>
    <w:rsid w:val="00CC5582"/>
    <w:rsid w:val="00CC5864"/>
    <w:rsid w:val="00CC69F2"/>
    <w:rsid w:val="00CC739C"/>
    <w:rsid w:val="00CD30F8"/>
    <w:rsid w:val="00CD5405"/>
    <w:rsid w:val="00CE1627"/>
    <w:rsid w:val="00CE4949"/>
    <w:rsid w:val="00CE5EFC"/>
    <w:rsid w:val="00CF3B27"/>
    <w:rsid w:val="00CF51BF"/>
    <w:rsid w:val="00D0393D"/>
    <w:rsid w:val="00D063D0"/>
    <w:rsid w:val="00D108EC"/>
    <w:rsid w:val="00D119FC"/>
    <w:rsid w:val="00D14DB8"/>
    <w:rsid w:val="00D16E50"/>
    <w:rsid w:val="00D202B3"/>
    <w:rsid w:val="00D21034"/>
    <w:rsid w:val="00D22AEA"/>
    <w:rsid w:val="00D323B6"/>
    <w:rsid w:val="00D36082"/>
    <w:rsid w:val="00D37FE2"/>
    <w:rsid w:val="00D40244"/>
    <w:rsid w:val="00D4076D"/>
    <w:rsid w:val="00D40C8F"/>
    <w:rsid w:val="00D41BF4"/>
    <w:rsid w:val="00D446F5"/>
    <w:rsid w:val="00D46807"/>
    <w:rsid w:val="00D530EC"/>
    <w:rsid w:val="00D5345B"/>
    <w:rsid w:val="00D53E8F"/>
    <w:rsid w:val="00D54BDC"/>
    <w:rsid w:val="00D561CA"/>
    <w:rsid w:val="00D60C61"/>
    <w:rsid w:val="00D63B75"/>
    <w:rsid w:val="00D65275"/>
    <w:rsid w:val="00D66279"/>
    <w:rsid w:val="00D66F6B"/>
    <w:rsid w:val="00D67658"/>
    <w:rsid w:val="00D72DEF"/>
    <w:rsid w:val="00D738C5"/>
    <w:rsid w:val="00D74E62"/>
    <w:rsid w:val="00D85186"/>
    <w:rsid w:val="00D8688B"/>
    <w:rsid w:val="00DA0764"/>
    <w:rsid w:val="00DA182E"/>
    <w:rsid w:val="00DA1F2C"/>
    <w:rsid w:val="00DA1F85"/>
    <w:rsid w:val="00DA5AE5"/>
    <w:rsid w:val="00DA76B3"/>
    <w:rsid w:val="00DB1701"/>
    <w:rsid w:val="00DB1756"/>
    <w:rsid w:val="00DB2849"/>
    <w:rsid w:val="00DB314F"/>
    <w:rsid w:val="00DB3984"/>
    <w:rsid w:val="00DB3A6F"/>
    <w:rsid w:val="00DB4FD6"/>
    <w:rsid w:val="00DB6BF6"/>
    <w:rsid w:val="00DB7C5C"/>
    <w:rsid w:val="00DC045F"/>
    <w:rsid w:val="00DC0B51"/>
    <w:rsid w:val="00DC0BDE"/>
    <w:rsid w:val="00DC10CC"/>
    <w:rsid w:val="00DC2009"/>
    <w:rsid w:val="00DC47CC"/>
    <w:rsid w:val="00DC51EA"/>
    <w:rsid w:val="00DC5828"/>
    <w:rsid w:val="00DD02F7"/>
    <w:rsid w:val="00DD1CC9"/>
    <w:rsid w:val="00DD1E1E"/>
    <w:rsid w:val="00DE22DB"/>
    <w:rsid w:val="00DE6509"/>
    <w:rsid w:val="00DE67B5"/>
    <w:rsid w:val="00DE7F5B"/>
    <w:rsid w:val="00DF0844"/>
    <w:rsid w:val="00DF20B0"/>
    <w:rsid w:val="00DF7EE8"/>
    <w:rsid w:val="00E044E7"/>
    <w:rsid w:val="00E0500C"/>
    <w:rsid w:val="00E11129"/>
    <w:rsid w:val="00E113E5"/>
    <w:rsid w:val="00E13905"/>
    <w:rsid w:val="00E16BE8"/>
    <w:rsid w:val="00E2023F"/>
    <w:rsid w:val="00E21011"/>
    <w:rsid w:val="00E22FD8"/>
    <w:rsid w:val="00E25AF3"/>
    <w:rsid w:val="00E263BE"/>
    <w:rsid w:val="00E266C4"/>
    <w:rsid w:val="00E33E7B"/>
    <w:rsid w:val="00E35304"/>
    <w:rsid w:val="00E40BC3"/>
    <w:rsid w:val="00E4279D"/>
    <w:rsid w:val="00E476B6"/>
    <w:rsid w:val="00E51F81"/>
    <w:rsid w:val="00E52FCC"/>
    <w:rsid w:val="00E53BA1"/>
    <w:rsid w:val="00E612C6"/>
    <w:rsid w:val="00E70210"/>
    <w:rsid w:val="00E71678"/>
    <w:rsid w:val="00E71AA3"/>
    <w:rsid w:val="00E72388"/>
    <w:rsid w:val="00E7346D"/>
    <w:rsid w:val="00E7504E"/>
    <w:rsid w:val="00E75C29"/>
    <w:rsid w:val="00E76264"/>
    <w:rsid w:val="00E767DC"/>
    <w:rsid w:val="00E802EA"/>
    <w:rsid w:val="00E832C3"/>
    <w:rsid w:val="00E83646"/>
    <w:rsid w:val="00E85748"/>
    <w:rsid w:val="00E86F7C"/>
    <w:rsid w:val="00E87E2B"/>
    <w:rsid w:val="00E87F9F"/>
    <w:rsid w:val="00E94929"/>
    <w:rsid w:val="00E953F5"/>
    <w:rsid w:val="00E97613"/>
    <w:rsid w:val="00EA1496"/>
    <w:rsid w:val="00EA22C7"/>
    <w:rsid w:val="00EA485B"/>
    <w:rsid w:val="00EA58A0"/>
    <w:rsid w:val="00EA5BC2"/>
    <w:rsid w:val="00EA7A1B"/>
    <w:rsid w:val="00EC0554"/>
    <w:rsid w:val="00EC1B27"/>
    <w:rsid w:val="00EC202A"/>
    <w:rsid w:val="00EC3069"/>
    <w:rsid w:val="00EC6613"/>
    <w:rsid w:val="00EC7A40"/>
    <w:rsid w:val="00ED074C"/>
    <w:rsid w:val="00ED3175"/>
    <w:rsid w:val="00ED5BB6"/>
    <w:rsid w:val="00ED7D47"/>
    <w:rsid w:val="00EE1FAA"/>
    <w:rsid w:val="00EE2DB5"/>
    <w:rsid w:val="00EE78D4"/>
    <w:rsid w:val="00EF0A5A"/>
    <w:rsid w:val="00EF1EA1"/>
    <w:rsid w:val="00F03D42"/>
    <w:rsid w:val="00F070FB"/>
    <w:rsid w:val="00F072DE"/>
    <w:rsid w:val="00F079D9"/>
    <w:rsid w:val="00F07AEA"/>
    <w:rsid w:val="00F07E78"/>
    <w:rsid w:val="00F15136"/>
    <w:rsid w:val="00F16EAA"/>
    <w:rsid w:val="00F209EB"/>
    <w:rsid w:val="00F25ABA"/>
    <w:rsid w:val="00F27800"/>
    <w:rsid w:val="00F30965"/>
    <w:rsid w:val="00F3146E"/>
    <w:rsid w:val="00F31A7E"/>
    <w:rsid w:val="00F346D2"/>
    <w:rsid w:val="00F37A98"/>
    <w:rsid w:val="00F43A74"/>
    <w:rsid w:val="00F43EEA"/>
    <w:rsid w:val="00F44063"/>
    <w:rsid w:val="00F44931"/>
    <w:rsid w:val="00F47BF6"/>
    <w:rsid w:val="00F51A30"/>
    <w:rsid w:val="00F54B7B"/>
    <w:rsid w:val="00F56931"/>
    <w:rsid w:val="00F56CDD"/>
    <w:rsid w:val="00F56DFA"/>
    <w:rsid w:val="00F60CCF"/>
    <w:rsid w:val="00F60F31"/>
    <w:rsid w:val="00F65C7F"/>
    <w:rsid w:val="00F679D3"/>
    <w:rsid w:val="00F756F7"/>
    <w:rsid w:val="00F757BD"/>
    <w:rsid w:val="00F76762"/>
    <w:rsid w:val="00F767DB"/>
    <w:rsid w:val="00F83D4F"/>
    <w:rsid w:val="00F86B5B"/>
    <w:rsid w:val="00F92AA6"/>
    <w:rsid w:val="00F9599E"/>
    <w:rsid w:val="00F9640C"/>
    <w:rsid w:val="00F96C41"/>
    <w:rsid w:val="00F97455"/>
    <w:rsid w:val="00F97CB1"/>
    <w:rsid w:val="00FA2339"/>
    <w:rsid w:val="00FA338E"/>
    <w:rsid w:val="00FA55A5"/>
    <w:rsid w:val="00FA6946"/>
    <w:rsid w:val="00FA7603"/>
    <w:rsid w:val="00FB0203"/>
    <w:rsid w:val="00FB228B"/>
    <w:rsid w:val="00FB2595"/>
    <w:rsid w:val="00FB3434"/>
    <w:rsid w:val="00FB3C28"/>
    <w:rsid w:val="00FB3E20"/>
    <w:rsid w:val="00FB549A"/>
    <w:rsid w:val="00FB6992"/>
    <w:rsid w:val="00FC0A80"/>
    <w:rsid w:val="00FC0AA8"/>
    <w:rsid w:val="00FC2714"/>
    <w:rsid w:val="00FC57C0"/>
    <w:rsid w:val="00FC71C8"/>
    <w:rsid w:val="00FD1F81"/>
    <w:rsid w:val="00FD7723"/>
    <w:rsid w:val="00FD7766"/>
    <w:rsid w:val="00FE2C5A"/>
    <w:rsid w:val="00FF4611"/>
    <w:rsid w:val="00FF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1CB64E22"/>
  <w15:chartTrackingRefBased/>
  <w15:docId w15:val="{17960295-1770-426D-B66E-33D930B92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AEA"/>
    <w:rPr>
      <w:sz w:val="24"/>
      <w:szCs w:val="24"/>
    </w:rPr>
  </w:style>
  <w:style w:type="paragraph" w:styleId="Ttulo1">
    <w:name w:val="heading 1"/>
    <w:basedOn w:val="Normal"/>
    <w:next w:val="Normal"/>
    <w:qFormat/>
    <w:rsid w:val="00F07AEA"/>
    <w:pPr>
      <w:keepNext/>
      <w:jc w:val="center"/>
      <w:outlineLvl w:val="0"/>
    </w:pPr>
    <w:rPr>
      <w:rFonts w:cs="Arial"/>
      <w:b/>
      <w:sz w:val="28"/>
      <w:szCs w:val="28"/>
    </w:rPr>
  </w:style>
  <w:style w:type="paragraph" w:styleId="Ttulo2">
    <w:name w:val="heading 2"/>
    <w:basedOn w:val="Normal"/>
    <w:next w:val="Normal"/>
    <w:qFormat/>
    <w:rsid w:val="00207E4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F07AEA"/>
    <w:pPr>
      <w:keepNext/>
      <w:ind w:left="426" w:hanging="1"/>
      <w:jc w:val="center"/>
      <w:outlineLvl w:val="2"/>
    </w:pPr>
    <w:rPr>
      <w:rFonts w:ascii="Arial" w:hAnsi="Arial"/>
      <w:szCs w:val="20"/>
    </w:rPr>
  </w:style>
  <w:style w:type="paragraph" w:styleId="Ttulo8">
    <w:name w:val="heading 8"/>
    <w:basedOn w:val="Normal"/>
    <w:next w:val="Normal"/>
    <w:qFormat/>
    <w:rsid w:val="00F07AEA"/>
    <w:pPr>
      <w:keepNext/>
      <w:keepLines/>
      <w:ind w:hanging="284"/>
      <w:jc w:val="center"/>
      <w:outlineLvl w:val="7"/>
    </w:pPr>
    <w:rPr>
      <w:rFonts w:ascii="Arial" w:hAnsi="Arial" w:cs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NDES">
    <w:name w:val="BNDES"/>
    <w:link w:val="BNDESChar"/>
    <w:qFormat/>
    <w:rsid w:val="00F07AEA"/>
    <w:pPr>
      <w:jc w:val="both"/>
    </w:pPr>
    <w:rPr>
      <w:rFonts w:ascii="Arial" w:hAnsi="Arial"/>
      <w:sz w:val="24"/>
    </w:rPr>
  </w:style>
  <w:style w:type="paragraph" w:styleId="Recuodecorpodetexto">
    <w:name w:val="Body Text Indent"/>
    <w:basedOn w:val="Normal"/>
    <w:rsid w:val="00F07AEA"/>
    <w:pPr>
      <w:ind w:left="1985" w:hanging="284"/>
      <w:jc w:val="both"/>
    </w:pPr>
    <w:rPr>
      <w:rFonts w:ascii="Arial" w:hAnsi="Arial"/>
      <w:szCs w:val="20"/>
    </w:rPr>
  </w:style>
  <w:style w:type="paragraph" w:styleId="Recuodecorpodetexto3">
    <w:name w:val="Body Text Indent 3"/>
    <w:basedOn w:val="Normal"/>
    <w:rsid w:val="00F07AEA"/>
    <w:pPr>
      <w:spacing w:before="120"/>
      <w:ind w:left="425"/>
      <w:jc w:val="both"/>
    </w:pPr>
    <w:rPr>
      <w:rFonts w:ascii="Arial" w:hAnsi="Arial"/>
      <w:szCs w:val="20"/>
    </w:rPr>
  </w:style>
  <w:style w:type="paragraph" w:customStyle="1" w:styleId="Corpodetexto21">
    <w:name w:val="Corpo de texto 21"/>
    <w:basedOn w:val="Normal"/>
    <w:rsid w:val="00F07AEA"/>
    <w:pPr>
      <w:numPr>
        <w:ilvl w:val="2"/>
        <w:numId w:val="5"/>
      </w:numPr>
      <w:tabs>
        <w:tab w:val="left" w:pos="851"/>
      </w:tabs>
      <w:jc w:val="both"/>
    </w:pPr>
    <w:rPr>
      <w:sz w:val="22"/>
      <w:szCs w:val="20"/>
    </w:rPr>
  </w:style>
  <w:style w:type="paragraph" w:styleId="Rodap">
    <w:name w:val="footer"/>
    <w:basedOn w:val="Normal"/>
    <w:rsid w:val="00F07AE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MapadoDocumento">
    <w:name w:val="Document Map"/>
    <w:basedOn w:val="Normal"/>
    <w:semiHidden/>
    <w:rsid w:val="00F07AEA"/>
    <w:pPr>
      <w:shd w:val="clear" w:color="auto" w:fill="000080"/>
    </w:pPr>
    <w:rPr>
      <w:rFonts w:ascii="Tahoma" w:hAnsi="Tahoma" w:cs="Tahoma"/>
    </w:rPr>
  </w:style>
  <w:style w:type="paragraph" w:styleId="Recuodecorpodetexto2">
    <w:name w:val="Body Text Indent 2"/>
    <w:basedOn w:val="Normal"/>
    <w:rsid w:val="00F07AEA"/>
    <w:pPr>
      <w:widowControl w:val="0"/>
      <w:spacing w:before="120" w:after="120"/>
      <w:ind w:left="992"/>
      <w:jc w:val="both"/>
    </w:pPr>
    <w:rPr>
      <w:rFonts w:ascii="Arial" w:hAnsi="Arial" w:cs="Arial"/>
    </w:rPr>
  </w:style>
  <w:style w:type="paragraph" w:styleId="Corpodetexto3">
    <w:name w:val="Body Text 3"/>
    <w:basedOn w:val="Normal"/>
    <w:rsid w:val="00F07AEA"/>
    <w:pPr>
      <w:tabs>
        <w:tab w:val="left" w:pos="900"/>
      </w:tabs>
      <w:jc w:val="both"/>
    </w:pPr>
    <w:rPr>
      <w:rFonts w:ascii="Arial" w:hAnsi="Arial" w:cs="Arial"/>
    </w:rPr>
  </w:style>
  <w:style w:type="paragraph" w:customStyle="1" w:styleId="Recuodecorpodetexto21">
    <w:name w:val="Recuo de corpo de texto 21"/>
    <w:basedOn w:val="Normal"/>
    <w:rsid w:val="00F07AEA"/>
    <w:pPr>
      <w:ind w:left="851"/>
      <w:jc w:val="both"/>
    </w:pPr>
    <w:rPr>
      <w:sz w:val="22"/>
      <w:szCs w:val="20"/>
    </w:rPr>
  </w:style>
  <w:style w:type="character" w:styleId="Hyperlink">
    <w:name w:val="Hyperlink"/>
    <w:rsid w:val="00F07AEA"/>
    <w:rPr>
      <w:color w:val="0000FF"/>
      <w:u w:val="single"/>
    </w:rPr>
  </w:style>
  <w:style w:type="paragraph" w:styleId="Corpodetexto">
    <w:name w:val="Body Text"/>
    <w:basedOn w:val="Normal"/>
    <w:rsid w:val="00F07AEA"/>
    <w:pPr>
      <w:tabs>
        <w:tab w:val="left" w:pos="2269"/>
        <w:tab w:val="left" w:pos="2977"/>
        <w:tab w:val="left" w:pos="4820"/>
      </w:tabs>
      <w:spacing w:line="288" w:lineRule="auto"/>
      <w:jc w:val="both"/>
    </w:pPr>
    <w:rPr>
      <w:rFonts w:ascii="Arial" w:hAnsi="Arial"/>
      <w:szCs w:val="20"/>
      <w:lang w:val="pt-PT"/>
    </w:rPr>
  </w:style>
  <w:style w:type="paragraph" w:styleId="Cabealho">
    <w:name w:val="header"/>
    <w:basedOn w:val="Normal"/>
    <w:link w:val="CabealhoChar"/>
    <w:qFormat/>
    <w:rsid w:val="00F07AEA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  <w:rsid w:val="00F07AEA"/>
  </w:style>
  <w:style w:type="paragraph" w:styleId="Commarcadores2">
    <w:name w:val="List Bullet 2"/>
    <w:basedOn w:val="Normal"/>
    <w:autoRedefine/>
    <w:rsid w:val="00F07AEA"/>
    <w:pPr>
      <w:tabs>
        <w:tab w:val="num" w:pos="643"/>
      </w:tabs>
      <w:ind w:left="643" w:hanging="360"/>
    </w:pPr>
    <w:rPr>
      <w:rFonts w:ascii="Arial" w:hAnsi="Arial"/>
      <w:szCs w:val="20"/>
    </w:rPr>
  </w:style>
  <w:style w:type="paragraph" w:styleId="Commarcadores3">
    <w:name w:val="List Bullet 3"/>
    <w:basedOn w:val="Normal"/>
    <w:autoRedefine/>
    <w:rsid w:val="00F07AEA"/>
    <w:pPr>
      <w:tabs>
        <w:tab w:val="num" w:pos="926"/>
      </w:tabs>
      <w:ind w:left="926" w:hanging="360"/>
    </w:pPr>
    <w:rPr>
      <w:rFonts w:ascii="Arial" w:hAnsi="Arial"/>
      <w:szCs w:val="20"/>
    </w:rPr>
  </w:style>
  <w:style w:type="paragraph" w:styleId="Commarcadores">
    <w:name w:val="List Bullet"/>
    <w:basedOn w:val="Normal"/>
    <w:autoRedefine/>
    <w:rsid w:val="00F07AEA"/>
    <w:pPr>
      <w:numPr>
        <w:numId w:val="1"/>
      </w:numPr>
      <w:tabs>
        <w:tab w:val="clear" w:pos="643"/>
        <w:tab w:val="num" w:pos="360"/>
      </w:tabs>
      <w:ind w:left="360"/>
    </w:pPr>
    <w:rPr>
      <w:rFonts w:ascii="Arial" w:hAnsi="Arial"/>
      <w:szCs w:val="20"/>
    </w:rPr>
  </w:style>
  <w:style w:type="paragraph" w:customStyle="1" w:styleId="titulopo4">
    <w:name w:val="titulopo4"/>
    <w:basedOn w:val="Normal"/>
    <w:rsid w:val="00F07AEA"/>
    <w:pPr>
      <w:keepNext/>
      <w:widowControl w:val="0"/>
      <w:numPr>
        <w:numId w:val="2"/>
      </w:numPr>
      <w:tabs>
        <w:tab w:val="clear" w:pos="926"/>
        <w:tab w:val="num" w:pos="1800"/>
      </w:tabs>
      <w:spacing w:before="60" w:after="60"/>
      <w:ind w:left="1224" w:right="567" w:hanging="504"/>
      <w:outlineLvl w:val="0"/>
    </w:pPr>
    <w:rPr>
      <w:rFonts w:ascii="Verdana" w:hAnsi="Verdana"/>
      <w:b/>
      <w:kern w:val="28"/>
      <w:sz w:val="22"/>
      <w:szCs w:val="20"/>
    </w:rPr>
  </w:style>
  <w:style w:type="paragraph" w:styleId="Textodenotaderodap">
    <w:name w:val="footnote text"/>
    <w:basedOn w:val="Normal"/>
    <w:semiHidden/>
    <w:rsid w:val="00F07AEA"/>
    <w:pPr>
      <w:numPr>
        <w:numId w:val="3"/>
      </w:numPr>
      <w:tabs>
        <w:tab w:val="clear" w:pos="360"/>
      </w:tabs>
      <w:ind w:left="0" w:firstLine="0"/>
    </w:pPr>
    <w:rPr>
      <w:sz w:val="20"/>
      <w:szCs w:val="20"/>
      <w:lang w:val="pt-PT"/>
    </w:rPr>
  </w:style>
  <w:style w:type="paragraph" w:styleId="Ttulo">
    <w:name w:val="Title"/>
    <w:basedOn w:val="Normal"/>
    <w:qFormat/>
    <w:rsid w:val="00F07AEA"/>
    <w:pPr>
      <w:jc w:val="center"/>
    </w:pPr>
    <w:rPr>
      <w:b/>
      <w:sz w:val="32"/>
      <w:szCs w:val="20"/>
    </w:rPr>
  </w:style>
  <w:style w:type="paragraph" w:customStyle="1" w:styleId="Numeraoon-line">
    <w:name w:val="Numeração on-line"/>
    <w:basedOn w:val="Normal"/>
    <w:rsid w:val="00F07AEA"/>
    <w:pPr>
      <w:numPr>
        <w:numId w:val="4"/>
      </w:numPr>
      <w:tabs>
        <w:tab w:val="clear" w:pos="432"/>
        <w:tab w:val="num" w:pos="360"/>
      </w:tabs>
      <w:ind w:left="360" w:hanging="360"/>
      <w:outlineLvl w:val="0"/>
    </w:pPr>
    <w:rPr>
      <w:rFonts w:ascii="Arial" w:hAnsi="Arial"/>
      <w:szCs w:val="20"/>
    </w:rPr>
  </w:style>
  <w:style w:type="paragraph" w:styleId="Corpodetexto2">
    <w:name w:val="Body Text 2"/>
    <w:basedOn w:val="Normal"/>
    <w:rsid w:val="00F07AEA"/>
    <w:pPr>
      <w:jc w:val="center"/>
    </w:pPr>
    <w:rPr>
      <w:rFonts w:cs="Arial"/>
      <w:b/>
      <w:sz w:val="28"/>
      <w:szCs w:val="28"/>
    </w:rPr>
  </w:style>
  <w:style w:type="paragraph" w:styleId="Textodebalo">
    <w:name w:val="Balloon Text"/>
    <w:basedOn w:val="Normal"/>
    <w:semiHidden/>
    <w:rsid w:val="00F07AEA"/>
    <w:rPr>
      <w:rFonts w:ascii="Tahoma" w:hAnsi="Tahoma" w:cs="Tahoma"/>
      <w:sz w:val="16"/>
      <w:szCs w:val="16"/>
    </w:rPr>
  </w:style>
  <w:style w:type="character" w:customStyle="1" w:styleId="BNDESChar">
    <w:name w:val="BNDES Char"/>
    <w:link w:val="BNDES"/>
    <w:qFormat/>
    <w:rsid w:val="003A19C3"/>
    <w:rPr>
      <w:rFonts w:ascii="Arial" w:hAnsi="Arial"/>
      <w:sz w:val="24"/>
      <w:lang w:val="pt-BR" w:eastAsia="pt-BR" w:bidi="ar-SA"/>
    </w:rPr>
  </w:style>
  <w:style w:type="paragraph" w:customStyle="1" w:styleId="Corpodetexto31">
    <w:name w:val="Corpo de texto 31"/>
    <w:basedOn w:val="Normal"/>
    <w:rsid w:val="00A75B53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Arial" w:hAnsi="Arial"/>
      <w:color w:val="FF0000"/>
      <w:sz w:val="20"/>
      <w:szCs w:val="20"/>
    </w:rPr>
  </w:style>
  <w:style w:type="paragraph" w:customStyle="1" w:styleId="CharChar">
    <w:name w:val="Char Char"/>
    <w:basedOn w:val="Normal"/>
    <w:rsid w:val="00B47EF4"/>
    <w:pPr>
      <w:spacing w:after="160" w:line="240" w:lineRule="exact"/>
    </w:pPr>
    <w:rPr>
      <w:rFonts w:ascii="Verdana" w:hAnsi="Verdana"/>
      <w:b/>
      <w:sz w:val="20"/>
      <w:szCs w:val="20"/>
      <w:lang w:val="en-US" w:eastAsia="en-US"/>
    </w:rPr>
  </w:style>
  <w:style w:type="character" w:styleId="Refdecomentrio">
    <w:name w:val="annotation reference"/>
    <w:uiPriority w:val="99"/>
    <w:semiHidden/>
    <w:rsid w:val="00BA46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BA462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BA462A"/>
    <w:rPr>
      <w:b/>
      <w:bCs/>
    </w:rPr>
  </w:style>
  <w:style w:type="paragraph" w:customStyle="1" w:styleId="CharChar1">
    <w:name w:val="Char Char1"/>
    <w:basedOn w:val="Normal"/>
    <w:rsid w:val="00B84526"/>
    <w:pPr>
      <w:spacing w:after="160" w:line="240" w:lineRule="exact"/>
    </w:pPr>
    <w:rPr>
      <w:rFonts w:ascii="Verdana" w:hAnsi="Verdana"/>
      <w:b/>
      <w:sz w:val="20"/>
      <w:szCs w:val="20"/>
      <w:lang w:val="en-US" w:eastAsia="en-US"/>
    </w:rPr>
  </w:style>
  <w:style w:type="character" w:styleId="Refdenotaderodap">
    <w:name w:val="footnote reference"/>
    <w:semiHidden/>
    <w:rsid w:val="00207E42"/>
    <w:rPr>
      <w:vertAlign w:val="superscript"/>
    </w:rPr>
  </w:style>
  <w:style w:type="paragraph" w:customStyle="1" w:styleId="Recuodecorpodetexto31">
    <w:name w:val="Recuo de corpo de texto 31"/>
    <w:basedOn w:val="Normal"/>
    <w:rsid w:val="00207E42"/>
    <w:pPr>
      <w:tabs>
        <w:tab w:val="left" w:pos="360"/>
      </w:tabs>
      <w:ind w:left="1134" w:hanging="283"/>
      <w:jc w:val="both"/>
    </w:pPr>
    <w:rPr>
      <w:sz w:val="22"/>
      <w:szCs w:val="20"/>
    </w:rPr>
  </w:style>
  <w:style w:type="paragraph" w:styleId="NormalWeb">
    <w:name w:val="Normal (Web)"/>
    <w:basedOn w:val="Normal"/>
    <w:rsid w:val="00207E42"/>
    <w:pPr>
      <w:spacing w:before="100" w:beforeAutospacing="1" w:after="100" w:afterAutospacing="1"/>
    </w:pPr>
  </w:style>
  <w:style w:type="paragraph" w:customStyle="1" w:styleId="CharChar2">
    <w:name w:val="Char Char2"/>
    <w:basedOn w:val="Normal"/>
    <w:rsid w:val="009C4605"/>
    <w:pPr>
      <w:spacing w:after="160" w:line="240" w:lineRule="exact"/>
    </w:pPr>
    <w:rPr>
      <w:rFonts w:ascii="Verdana" w:hAnsi="Verdana"/>
      <w:b/>
      <w:sz w:val="20"/>
      <w:szCs w:val="20"/>
      <w:lang w:val="en-US" w:eastAsia="en-US"/>
    </w:rPr>
  </w:style>
  <w:style w:type="paragraph" w:customStyle="1" w:styleId="Char2">
    <w:name w:val="Char2"/>
    <w:basedOn w:val="Normal"/>
    <w:rsid w:val="00520C44"/>
    <w:pPr>
      <w:spacing w:after="160" w:line="240" w:lineRule="exact"/>
    </w:pPr>
    <w:rPr>
      <w:rFonts w:ascii="Verdana" w:hAnsi="Verdana"/>
      <w:b/>
      <w:sz w:val="20"/>
      <w:szCs w:val="20"/>
      <w:lang w:val="en-US" w:eastAsia="en-US"/>
    </w:rPr>
  </w:style>
  <w:style w:type="paragraph" w:customStyle="1" w:styleId="Char">
    <w:name w:val="Char"/>
    <w:basedOn w:val="Normal"/>
    <w:rsid w:val="00526D22"/>
    <w:pPr>
      <w:spacing w:after="160" w:line="240" w:lineRule="exact"/>
    </w:pPr>
    <w:rPr>
      <w:rFonts w:ascii="Verdana" w:hAnsi="Verdana"/>
      <w:b/>
      <w:sz w:val="20"/>
      <w:szCs w:val="20"/>
      <w:lang w:val="en-US" w:eastAsia="en-US"/>
    </w:rPr>
  </w:style>
  <w:style w:type="paragraph" w:styleId="Reviso">
    <w:name w:val="Revision"/>
    <w:hidden/>
    <w:uiPriority w:val="99"/>
    <w:semiHidden/>
    <w:rsid w:val="00C74CB7"/>
    <w:rPr>
      <w:sz w:val="24"/>
      <w:szCs w:val="24"/>
    </w:rPr>
  </w:style>
  <w:style w:type="character" w:customStyle="1" w:styleId="TextodecomentrioChar">
    <w:name w:val="Texto de comentário Char"/>
    <w:link w:val="Textodecomentrio"/>
    <w:uiPriority w:val="99"/>
    <w:semiHidden/>
    <w:rsid w:val="00B903E3"/>
  </w:style>
  <w:style w:type="character" w:customStyle="1" w:styleId="CabealhoChar">
    <w:name w:val="Cabeçalho Char"/>
    <w:link w:val="Cabealho"/>
    <w:qFormat/>
    <w:rsid w:val="00E7504E"/>
  </w:style>
  <w:style w:type="paragraph" w:styleId="PargrafodaLista">
    <w:name w:val="List Paragraph"/>
    <w:basedOn w:val="Normal"/>
    <w:uiPriority w:val="34"/>
    <w:qFormat/>
    <w:rsid w:val="00E7504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a)"/>
    <w:next w:val="Normal"/>
    <w:rsid w:val="002E457F"/>
    <w:pPr>
      <w:spacing w:before="360" w:after="120"/>
      <w:ind w:left="567" w:hanging="567"/>
      <w:jc w:val="both"/>
    </w:pPr>
    <w:rPr>
      <w:rFonts w:ascii="Arial" w:hAnsi="Arial"/>
      <w:sz w:val="24"/>
    </w:rPr>
  </w:style>
  <w:style w:type="paragraph" w:customStyle="1" w:styleId="ax">
    <w:name w:val="a.x)"/>
    <w:rsid w:val="004139C8"/>
    <w:pPr>
      <w:spacing w:before="240" w:after="120"/>
      <w:ind w:left="1276" w:hanging="709"/>
      <w:jc w:val="both"/>
    </w:pPr>
    <w:rPr>
      <w:rFonts w:ascii="Arial" w:hAnsi="Arial"/>
      <w:sz w:val="24"/>
    </w:rPr>
  </w:style>
  <w:style w:type="paragraph" w:customStyle="1" w:styleId="5">
    <w:name w:val="5"/>
    <w:rsid w:val="004139C8"/>
    <w:pPr>
      <w:tabs>
        <w:tab w:val="left" w:pos="5529"/>
      </w:tabs>
      <w:spacing w:line="360" w:lineRule="atLeast"/>
      <w:ind w:left="567" w:hanging="567"/>
      <w:jc w:val="both"/>
    </w:pPr>
    <w:rPr>
      <w:rFonts w:ascii="Arial" w:hAnsi="Arial"/>
      <w:sz w:val="22"/>
    </w:rPr>
  </w:style>
  <w:style w:type="paragraph" w:customStyle="1" w:styleId="BodyText25">
    <w:name w:val="Body Text 25"/>
    <w:basedOn w:val="Normal"/>
    <w:rsid w:val="00F9640C"/>
    <w:pPr>
      <w:overflowPunct w:val="0"/>
      <w:autoSpaceDE w:val="0"/>
      <w:autoSpaceDN w:val="0"/>
      <w:adjustRightInd w:val="0"/>
      <w:spacing w:before="120" w:after="120"/>
      <w:ind w:left="1418"/>
      <w:jc w:val="both"/>
      <w:textAlignment w:val="baseline"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40A4C-EC3D-4E10-9F1F-5A52DDFD422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0382c8c-adbe-46e3-9db2-77e073215796}" enabled="1" method="Privileged" siteId="{7e2324c6-6925-427e-b56d-4e6eda16752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9</Pages>
  <Words>2180</Words>
  <Characters>12133</Characters>
  <Application>Microsoft Office Word</Application>
  <DocSecurity>8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Circular SUP/AGRIS 12_2014</vt:lpstr>
    </vt:vector>
  </TitlesOfParts>
  <Company>BNDES</Company>
  <LinksUpToDate>false</LinksUpToDate>
  <CharactersWithSpaces>14285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 SUP/AGRIS 12_2014</dc:title>
  <dc:subject>Moderfrota</dc:subject>
  <dc:creator>AGRIS</dc:creator>
  <cp:keywords>Moderfrota</cp:keywords>
  <cp:lastModifiedBy>Rafael Magalhaes da Rocha</cp:lastModifiedBy>
  <cp:revision>8</cp:revision>
  <cp:lastPrinted>2024-03-04T19:36:00Z</cp:lastPrinted>
  <dcterms:created xsi:type="dcterms:W3CDTF">2023-08-25T13:28:00Z</dcterms:created>
  <dcterms:modified xsi:type="dcterms:W3CDTF">2025-02-13T22:35:00Z</dcterms:modified>
</cp:coreProperties>
</file>